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00" w:rsidRDefault="007E7400" w:rsidP="007E740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00" w:rsidRDefault="007E7400" w:rsidP="007E7400">
      <w:pPr>
        <w:rPr>
          <w:b/>
        </w:rPr>
      </w:pPr>
    </w:p>
    <w:p w:rsidR="007E7400" w:rsidRDefault="007E7400" w:rsidP="007E7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7E7400" w:rsidRDefault="007E7400" w:rsidP="007E74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7E7400" w:rsidRDefault="007E7400" w:rsidP="007E740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7E7400" w:rsidRDefault="007E7400" w:rsidP="007E74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сентября 2016 года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№ 102 </w:t>
      </w:r>
    </w:p>
    <w:p w:rsidR="007E7400" w:rsidRDefault="007E7400" w:rsidP="007E74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7E7400" w:rsidRDefault="007E7400" w:rsidP="007E7400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7E7400" w:rsidTr="007E7400">
        <w:trPr>
          <w:trHeight w:val="338"/>
        </w:trPr>
        <w:tc>
          <w:tcPr>
            <w:tcW w:w="5819" w:type="dxa"/>
            <w:hideMark/>
          </w:tcPr>
          <w:p w:rsidR="007E7400" w:rsidRDefault="007E7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97</w:t>
            </w:r>
          </w:p>
        </w:tc>
      </w:tr>
    </w:tbl>
    <w:p w:rsidR="007E7400" w:rsidRDefault="007E7400" w:rsidP="007E7400"/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7E7400" w:rsidRDefault="007E7400" w:rsidP="007E74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97 следующие изменения:</w:t>
      </w:r>
    </w:p>
    <w:p w:rsidR="007E7400" w:rsidRDefault="007E7400" w:rsidP="007E74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7E7400" w:rsidTr="007E7400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7E7400" w:rsidRDefault="007E74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финансовых средств, предусмотренных на реализацию программы  в 2015-2018гг. составляет: 7286,33 тыс. рублей, в том числе:</w:t>
            </w:r>
          </w:p>
          <w:p w:rsidR="007E7400" w:rsidRDefault="007E7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 – 0 тыс. рублей;</w:t>
            </w:r>
          </w:p>
          <w:p w:rsidR="007E7400" w:rsidRDefault="007E7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7E7400" w:rsidRDefault="007E7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7286,33 тыс. рублей;</w:t>
            </w:r>
          </w:p>
          <w:p w:rsidR="007E7400" w:rsidRDefault="007E740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источники – 0 тыс. рублей.</w:t>
            </w:r>
          </w:p>
        </w:tc>
      </w:tr>
    </w:tbl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4 Программы изложить в следующей редакции: «Общий объем финансирования Муниципальной программы за период 2015-2018 гг. составит в ценах соответствующих лет – 7286,33 тыс. рублей, в том числе по годам: 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2444,93 тыс. рублей;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2088,74 тыс. рублей;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1584,60 тыс. рублей;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1168,06 тыс. рублей». </w:t>
      </w:r>
    </w:p>
    <w:p w:rsidR="007E7400" w:rsidRDefault="007E7400" w:rsidP="007E7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согласно Приложению 1 к настоящему постановлению.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7E7400" w:rsidRDefault="007E7400" w:rsidP="007E7400">
      <w:pPr>
        <w:ind w:firstLine="708"/>
        <w:jc w:val="both"/>
        <w:rPr>
          <w:sz w:val="28"/>
          <w:szCs w:val="28"/>
        </w:rPr>
      </w:pPr>
    </w:p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/>
    <w:p w:rsidR="007E7400" w:rsidRDefault="007E7400" w:rsidP="007E7400">
      <w:pPr>
        <w:rPr>
          <w:sz w:val="28"/>
          <w:szCs w:val="28"/>
        </w:rPr>
      </w:pPr>
    </w:p>
    <w:p w:rsidR="007E7400" w:rsidRDefault="007E7400" w:rsidP="007E7400"/>
    <w:p w:rsidR="007E7400" w:rsidRDefault="007E7400" w:rsidP="007E7400"/>
    <w:p w:rsidR="007E7400" w:rsidRDefault="007E7400" w:rsidP="007E7400"/>
    <w:p w:rsidR="007E7400" w:rsidRDefault="007E7400" w:rsidP="007E7400"/>
    <w:p w:rsidR="007E7400" w:rsidRDefault="007E7400" w:rsidP="007E7400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7E7400" w:rsidRDefault="007E7400" w:rsidP="007E7400">
      <w:pPr>
        <w:sectPr w:rsidR="007E7400">
          <w:pgSz w:w="11906" w:h="16838"/>
          <w:pgMar w:top="1134" w:right="567" w:bottom="1134" w:left="1418" w:header="709" w:footer="709" w:gutter="0"/>
          <w:cols w:space="720"/>
        </w:sectPr>
      </w:pPr>
    </w:p>
    <w:p w:rsidR="007E7400" w:rsidRDefault="007E7400" w:rsidP="007E740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7E7400" w:rsidRDefault="007E7400" w:rsidP="007E740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28 сентября  2016 года  № 102   </w:t>
      </w: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rPr>
          <w:sz w:val="16"/>
          <w:szCs w:val="16"/>
        </w:rPr>
      </w:pPr>
    </w:p>
    <w:p w:rsidR="007E7400" w:rsidRDefault="007E7400" w:rsidP="007E7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7E7400" w:rsidRDefault="007E7400" w:rsidP="007E7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</w:t>
      </w:r>
    </w:p>
    <w:p w:rsidR="007E7400" w:rsidRDefault="007E7400" w:rsidP="007E74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7E7400" w:rsidRDefault="007E7400" w:rsidP="007E740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46"/>
        <w:gridCol w:w="1700"/>
        <w:gridCol w:w="1231"/>
        <w:gridCol w:w="1190"/>
        <w:gridCol w:w="1190"/>
        <w:gridCol w:w="1176"/>
        <w:gridCol w:w="1372"/>
        <w:gridCol w:w="1530"/>
        <w:gridCol w:w="1438"/>
        <w:gridCol w:w="1226"/>
      </w:tblGrid>
      <w:tr w:rsidR="007E7400" w:rsidTr="007E74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Годы реализации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Планируемые объемы финансирования</w:t>
            </w:r>
          </w:p>
          <w:p w:rsidR="007E7400" w:rsidRDefault="007E7400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7E7400" w:rsidTr="007E7400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всего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в том числе</w:t>
            </w:r>
          </w:p>
        </w:tc>
      </w:tr>
      <w:tr w:rsidR="007E7400" w:rsidTr="007E740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прочие источники</w:t>
            </w:r>
          </w:p>
        </w:tc>
      </w:tr>
      <w:tr w:rsidR="007E7400" w:rsidTr="007E7400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11</w:t>
            </w:r>
          </w:p>
        </w:tc>
      </w:tr>
      <w:tr w:rsidR="007E7400" w:rsidTr="007E7400">
        <w:trPr>
          <w:trHeight w:val="22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jc w:val="both"/>
            </w:pP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  <w:p w:rsidR="007E7400" w:rsidRDefault="007E7400">
            <w:pPr>
              <w:jc w:val="both"/>
              <w:rPr>
                <w:b/>
              </w:rPr>
            </w:pPr>
          </w:p>
          <w:p w:rsidR="007E7400" w:rsidRDefault="007E7400">
            <w:pPr>
              <w:rPr>
                <w:b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2444,93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2444,93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2088,74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2088,74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1584,60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1584,60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1168,06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1168,06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7E7400" w:rsidRDefault="007E7400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7286,33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7286,33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E7400" w:rsidTr="007E74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r>
              <w:rPr>
                <w:rFonts w:eastAsia="Calibri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jc w:val="center"/>
            </w:pPr>
            <w:r>
              <w:t>2018</w:t>
            </w:r>
          </w:p>
          <w:p w:rsidR="007E7400" w:rsidRDefault="007E740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1964,16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1964,16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1639,08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1639,08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1212,94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1212,94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796,40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796,40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7E7400" w:rsidRDefault="007E740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7E7400" w:rsidTr="007E74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r>
              <w:t xml:space="preserve">Обеспечение реализации функций в </w:t>
            </w:r>
            <w:r>
              <w:lastRenderedPageBreak/>
              <w:t>сфере управления муниципальным жилищным фондом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99,22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99,22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68,12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68,12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7E7400" w:rsidRDefault="007E7400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339,42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339,42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7E7400" w:rsidTr="007E74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381,55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381,55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381,54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381,54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</w:pPr>
            <w:r>
              <w:t>0,00</w:t>
            </w:r>
          </w:p>
        </w:tc>
      </w:tr>
      <w:tr w:rsidR="007E7400" w:rsidTr="007E74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00" w:rsidRDefault="007E7400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0" w:rsidRDefault="007E7400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7E7400" w:rsidRDefault="007E7400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00" w:rsidRDefault="007E7400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7E7400" w:rsidRDefault="007E7400" w:rsidP="007E7400">
      <w:pPr>
        <w:tabs>
          <w:tab w:val="left" w:pos="1455"/>
        </w:tabs>
        <w:rPr>
          <w:sz w:val="16"/>
          <w:szCs w:val="16"/>
        </w:rPr>
      </w:pPr>
    </w:p>
    <w:p w:rsidR="0061054B" w:rsidRDefault="0061054B"/>
    <w:sectPr w:rsidR="0061054B" w:rsidSect="007E7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00"/>
    <w:rsid w:val="0061054B"/>
    <w:rsid w:val="007E7400"/>
    <w:rsid w:val="009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4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E7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2016-09-28T13:46:00Z</dcterms:created>
  <dcterms:modified xsi:type="dcterms:W3CDTF">2016-09-28T13:47:00Z</dcterms:modified>
</cp:coreProperties>
</file>