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55" w:rsidRDefault="00B00055" w:rsidP="00B00055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55" w:rsidRDefault="00B00055" w:rsidP="00B00055">
      <w:pPr>
        <w:rPr>
          <w:b/>
        </w:rPr>
      </w:pPr>
    </w:p>
    <w:p w:rsidR="00B00055" w:rsidRPr="000A00CC" w:rsidRDefault="00B00055" w:rsidP="00B00055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B00055" w:rsidRPr="000A00CC" w:rsidRDefault="00B00055" w:rsidP="00B00055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B00055" w:rsidRPr="000A00CC" w:rsidRDefault="00B00055" w:rsidP="00B0005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B00055" w:rsidRPr="00540DC4" w:rsidRDefault="00B00055" w:rsidP="00B000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декабря  </w:t>
      </w:r>
      <w:r w:rsidRPr="00540D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    139</w:t>
      </w:r>
    </w:p>
    <w:p w:rsidR="00B00055" w:rsidRPr="00540DC4" w:rsidRDefault="00B00055" w:rsidP="00B00055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B00055" w:rsidRPr="00540DC4" w:rsidRDefault="00B00055" w:rsidP="00B00055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B00055" w:rsidRPr="00FB7E3C" w:rsidTr="00964F92">
        <w:trPr>
          <w:trHeight w:val="338"/>
        </w:trPr>
        <w:tc>
          <w:tcPr>
            <w:tcW w:w="5819" w:type="dxa"/>
          </w:tcPr>
          <w:p w:rsidR="00B00055" w:rsidRPr="00FB7E3C" w:rsidRDefault="00B00055" w:rsidP="00964F92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«Развитие частей территории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20.01.2015 г. № 4</w:t>
            </w:r>
          </w:p>
        </w:tc>
      </w:tr>
    </w:tbl>
    <w:p w:rsidR="00B00055" w:rsidRDefault="00B00055" w:rsidP="00B00055"/>
    <w:p w:rsidR="00B00055" w:rsidRDefault="00B00055" w:rsidP="00B00055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2017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B00055" w:rsidRPr="00FB7E3C" w:rsidRDefault="00B00055" w:rsidP="00B00055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B00055" w:rsidRDefault="00B00055" w:rsidP="00B00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 w:rsidRPr="0087391C">
        <w:rPr>
          <w:sz w:val="28"/>
          <w:szCs w:val="28"/>
        </w:rPr>
        <w:t xml:space="preserve">Развитие частей территории муниципального образования </w:t>
      </w:r>
      <w:proofErr w:type="spellStart"/>
      <w:r w:rsidRPr="0087391C">
        <w:rPr>
          <w:sz w:val="28"/>
          <w:szCs w:val="28"/>
        </w:rPr>
        <w:t>Пчевское</w:t>
      </w:r>
      <w:proofErr w:type="spellEnd"/>
      <w:r w:rsidRPr="0087391C">
        <w:rPr>
          <w:sz w:val="28"/>
          <w:szCs w:val="28"/>
        </w:rPr>
        <w:t xml:space="preserve"> сельское поселение </w:t>
      </w:r>
      <w:proofErr w:type="spellStart"/>
      <w:r w:rsidRPr="0087391C">
        <w:rPr>
          <w:sz w:val="28"/>
          <w:szCs w:val="28"/>
        </w:rPr>
        <w:t>Киришского</w:t>
      </w:r>
      <w:proofErr w:type="spellEnd"/>
      <w:r w:rsidRPr="0087391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20.01.2015 г. № 4</w:t>
      </w:r>
      <w:r>
        <w:rPr>
          <w:sz w:val="28"/>
          <w:szCs w:val="28"/>
        </w:rPr>
        <w:t xml:space="preserve"> следующие изменения:</w:t>
      </w:r>
    </w:p>
    <w:p w:rsidR="00B00055" w:rsidRDefault="00B00055" w:rsidP="00B00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Приложение 1 «Перечень мероприятий, подпрограмм муниципальной программы «</w:t>
      </w:r>
      <w:r w:rsidRPr="00C770B8">
        <w:rPr>
          <w:sz w:val="28"/>
          <w:szCs w:val="28"/>
        </w:rPr>
        <w:t xml:space="preserve">Развитие частей территории муниципального образования </w:t>
      </w:r>
      <w:proofErr w:type="spellStart"/>
      <w:r w:rsidRPr="00C770B8">
        <w:rPr>
          <w:sz w:val="28"/>
          <w:szCs w:val="28"/>
        </w:rPr>
        <w:t>Пчевское</w:t>
      </w:r>
      <w:proofErr w:type="spellEnd"/>
      <w:r w:rsidRPr="00C770B8">
        <w:rPr>
          <w:sz w:val="28"/>
          <w:szCs w:val="28"/>
        </w:rPr>
        <w:t xml:space="preserve"> сельское поселение </w:t>
      </w:r>
      <w:proofErr w:type="spellStart"/>
      <w:r w:rsidRPr="00C770B8">
        <w:rPr>
          <w:sz w:val="28"/>
          <w:szCs w:val="28"/>
        </w:rPr>
        <w:t>Киришского</w:t>
      </w:r>
      <w:proofErr w:type="spellEnd"/>
      <w:r w:rsidRPr="00C770B8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B00055" w:rsidRPr="008B0BC2" w:rsidRDefault="00B00055" w:rsidP="00B00055">
      <w:pPr>
        <w:ind w:firstLine="709"/>
        <w:jc w:val="both"/>
        <w:rPr>
          <w:sz w:val="28"/>
          <w:szCs w:val="28"/>
        </w:rPr>
      </w:pPr>
      <w:r w:rsidRPr="008B0BC2">
        <w:rPr>
          <w:sz w:val="28"/>
          <w:szCs w:val="28"/>
        </w:rPr>
        <w:t xml:space="preserve"> </w:t>
      </w:r>
    </w:p>
    <w:p w:rsidR="00B00055" w:rsidRDefault="00B00055" w:rsidP="00B00055">
      <w:pPr>
        <w:spacing w:line="276" w:lineRule="auto"/>
        <w:ind w:firstLine="709"/>
        <w:jc w:val="both"/>
        <w:rPr>
          <w:sz w:val="28"/>
          <w:szCs w:val="28"/>
        </w:rPr>
      </w:pPr>
      <w:r w:rsidRPr="008B0BC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B0BC2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3</w:t>
      </w:r>
      <w:r w:rsidRPr="008B0BC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Сведения о показателях (индикаторах) муниципальной программы  </w:t>
      </w:r>
      <w:r w:rsidRPr="006C6898">
        <w:rPr>
          <w:sz w:val="28"/>
          <w:szCs w:val="28"/>
        </w:rPr>
        <w:t xml:space="preserve">«Развитие частей территории муниципального образования </w:t>
      </w:r>
      <w:proofErr w:type="spellStart"/>
      <w:r w:rsidRPr="006C6898">
        <w:rPr>
          <w:sz w:val="28"/>
          <w:szCs w:val="28"/>
        </w:rPr>
        <w:t>Пчевское</w:t>
      </w:r>
      <w:proofErr w:type="spellEnd"/>
      <w:r w:rsidRPr="006C6898">
        <w:rPr>
          <w:sz w:val="28"/>
          <w:szCs w:val="28"/>
        </w:rPr>
        <w:t xml:space="preserve"> сельское поселение </w:t>
      </w:r>
      <w:proofErr w:type="spellStart"/>
      <w:r w:rsidRPr="006C6898">
        <w:rPr>
          <w:sz w:val="28"/>
          <w:szCs w:val="28"/>
        </w:rPr>
        <w:t>Киришского</w:t>
      </w:r>
      <w:proofErr w:type="spellEnd"/>
      <w:r w:rsidRPr="006C6898">
        <w:rPr>
          <w:sz w:val="28"/>
          <w:szCs w:val="28"/>
        </w:rPr>
        <w:t xml:space="preserve"> муниципального района Ленинградской </w:t>
      </w:r>
      <w:r w:rsidRPr="006C6898">
        <w:rPr>
          <w:sz w:val="28"/>
          <w:szCs w:val="28"/>
        </w:rPr>
        <w:lastRenderedPageBreak/>
        <w:t>области»</w:t>
      </w:r>
      <w:r>
        <w:rPr>
          <w:sz w:val="28"/>
          <w:szCs w:val="28"/>
        </w:rPr>
        <w:t xml:space="preserve"> и их значениях  </w:t>
      </w:r>
      <w:r w:rsidRPr="008B0BC2">
        <w:rPr>
          <w:sz w:val="28"/>
          <w:szCs w:val="28"/>
        </w:rPr>
        <w:t xml:space="preserve">» к Программе изложить в редакции </w:t>
      </w:r>
      <w:proofErr w:type="gramStart"/>
      <w:r w:rsidRPr="008B0BC2">
        <w:rPr>
          <w:sz w:val="28"/>
          <w:szCs w:val="28"/>
        </w:rPr>
        <w:t>согласно Приложения</w:t>
      </w:r>
      <w:proofErr w:type="gramEnd"/>
      <w:r w:rsidRPr="008B0BC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B0BC2">
        <w:rPr>
          <w:sz w:val="28"/>
          <w:szCs w:val="28"/>
        </w:rPr>
        <w:t xml:space="preserve"> к настоящему Постановлению.</w:t>
      </w:r>
    </w:p>
    <w:p w:rsidR="00B00055" w:rsidRDefault="00B00055" w:rsidP="00B000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«План реализации муниципальной программы </w:t>
      </w:r>
      <w:r w:rsidRPr="006C6898">
        <w:rPr>
          <w:sz w:val="28"/>
          <w:szCs w:val="28"/>
        </w:rPr>
        <w:t xml:space="preserve">«Развитие частей территории муниципального образования </w:t>
      </w:r>
      <w:proofErr w:type="spellStart"/>
      <w:r w:rsidRPr="006C6898">
        <w:rPr>
          <w:sz w:val="28"/>
          <w:szCs w:val="28"/>
        </w:rPr>
        <w:t>Пчевское</w:t>
      </w:r>
      <w:proofErr w:type="spellEnd"/>
      <w:r w:rsidRPr="006C6898">
        <w:rPr>
          <w:sz w:val="28"/>
          <w:szCs w:val="28"/>
        </w:rPr>
        <w:t xml:space="preserve"> сельское поселение </w:t>
      </w:r>
      <w:proofErr w:type="spellStart"/>
      <w:r w:rsidRPr="006C6898">
        <w:rPr>
          <w:sz w:val="28"/>
          <w:szCs w:val="28"/>
        </w:rPr>
        <w:t>Киришского</w:t>
      </w:r>
      <w:proofErr w:type="spellEnd"/>
      <w:r w:rsidRPr="006C6898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к Программе 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настоящему Постановлению.</w:t>
      </w:r>
    </w:p>
    <w:p w:rsidR="00B00055" w:rsidRDefault="00B00055" w:rsidP="00B000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B00055" w:rsidRDefault="00B00055" w:rsidP="00B00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B00055" w:rsidRDefault="00B00055" w:rsidP="00B00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0055" w:rsidRDefault="00B00055" w:rsidP="00B00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055" w:rsidRPr="006B0DAC" w:rsidRDefault="00B00055" w:rsidP="00B00055">
      <w:pPr>
        <w:ind w:firstLine="708"/>
        <w:jc w:val="both"/>
        <w:rPr>
          <w:sz w:val="28"/>
          <w:szCs w:val="28"/>
        </w:rPr>
      </w:pPr>
    </w:p>
    <w:p w:rsidR="00B00055" w:rsidRDefault="00B00055" w:rsidP="00B00055">
      <w:pPr>
        <w:rPr>
          <w:sz w:val="28"/>
          <w:szCs w:val="28"/>
        </w:rPr>
      </w:pPr>
    </w:p>
    <w:p w:rsidR="00B00055" w:rsidRPr="002917FD" w:rsidRDefault="00B00055" w:rsidP="00B000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B00055" w:rsidRPr="007E0E0E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/>
    <w:p w:rsidR="00B00055" w:rsidRDefault="00B00055" w:rsidP="00B00055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B00055" w:rsidRDefault="00B00055" w:rsidP="00B00055">
      <w:pPr>
        <w:rPr>
          <w:sz w:val="16"/>
          <w:szCs w:val="16"/>
        </w:rPr>
        <w:sectPr w:rsidR="00B00055" w:rsidSect="00467557">
          <w:pgSz w:w="11906" w:h="16838"/>
          <w:pgMar w:top="539" w:right="851" w:bottom="567" w:left="1134" w:header="709" w:footer="709" w:gutter="0"/>
          <w:cols w:space="708"/>
          <w:docGrid w:linePitch="360"/>
        </w:sectPr>
      </w:pPr>
    </w:p>
    <w:p w:rsidR="00B00055" w:rsidRPr="00A96BAB" w:rsidRDefault="00B00055" w:rsidP="00B00055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3</w:t>
      </w:r>
    </w:p>
    <w:p w:rsidR="00B00055" w:rsidRPr="00D35AA1" w:rsidRDefault="00B00055" w:rsidP="00B00055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от 27  декабря  2017 года № 139    </w:t>
      </w:r>
      <w:r>
        <w:rPr>
          <w:sz w:val="24"/>
          <w:szCs w:val="24"/>
        </w:rPr>
        <w:t xml:space="preserve"> </w:t>
      </w:r>
    </w:p>
    <w:p w:rsidR="00B00055" w:rsidRPr="00A96BAB" w:rsidRDefault="00B00055" w:rsidP="00B00055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B00055" w:rsidRPr="00A96BAB" w:rsidRDefault="00B00055" w:rsidP="00B00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B00055" w:rsidRPr="00A96BAB" w:rsidRDefault="00B00055" w:rsidP="00B00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</w:t>
      </w:r>
      <w:r>
        <w:rPr>
          <w:rFonts w:ascii="Times New Roman" w:hAnsi="Times New Roman"/>
          <w:b/>
          <w:sz w:val="24"/>
          <w:szCs w:val="24"/>
        </w:rPr>
        <w:t xml:space="preserve">частей территории муниципального образования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B00055" w:rsidRPr="00A96BAB" w:rsidRDefault="00B00055" w:rsidP="00B00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B00055" w:rsidRPr="00A96BAB" w:rsidRDefault="00B00055" w:rsidP="00B0005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098"/>
        <w:gridCol w:w="13"/>
        <w:gridCol w:w="57"/>
        <w:gridCol w:w="1634"/>
        <w:gridCol w:w="10"/>
        <w:gridCol w:w="23"/>
        <w:gridCol w:w="1243"/>
        <w:gridCol w:w="8"/>
        <w:gridCol w:w="1248"/>
        <w:gridCol w:w="36"/>
        <w:gridCol w:w="11"/>
        <w:gridCol w:w="1211"/>
        <w:gridCol w:w="1112"/>
        <w:gridCol w:w="1421"/>
        <w:gridCol w:w="1606"/>
        <w:gridCol w:w="1345"/>
        <w:gridCol w:w="1193"/>
      </w:tblGrid>
      <w:tr w:rsidR="00B00055" w:rsidRPr="00CB42CE" w:rsidTr="00964F9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42C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</w:t>
            </w: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B00055" w:rsidRPr="00CB42CE" w:rsidTr="00964F92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B00055" w:rsidRPr="00CB42CE" w:rsidTr="00964F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</w:tr>
      <w:tr w:rsidR="00B00055" w:rsidRPr="00CB42CE" w:rsidTr="00964F92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00055" w:rsidRPr="00CB42CE" w:rsidTr="00964F92">
        <w:trPr>
          <w:trHeight w:val="2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706563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</w:t>
            </w:r>
            <w:r w:rsidRPr="00706563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частей территории муниципального образования </w:t>
            </w:r>
            <w:proofErr w:type="spellStart"/>
            <w:r w:rsidRPr="00706563"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 w:rsidRPr="00706563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</w:t>
            </w: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6563">
              <w:rPr>
                <w:rFonts w:ascii="Times New Roman" w:hAnsi="Times New Roman"/>
                <w:b/>
                <w:sz w:val="18"/>
                <w:szCs w:val="18"/>
              </w:rPr>
              <w:t>Киришского</w:t>
            </w:r>
            <w:proofErr w:type="spellEnd"/>
            <w:r w:rsidRPr="00706563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Ленинградской области</w:t>
            </w: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2631,79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0E03D4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3829,33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0E03D4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E03D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0E03D4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3641,60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0E03D4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187,73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3766,35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1842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55" w:rsidRPr="0018427C" w:rsidRDefault="00B00055" w:rsidP="00964F92">
            <w:pPr>
              <w:rPr>
                <w:highlight w:val="red"/>
              </w:rPr>
            </w:pPr>
            <w:r>
              <w:rPr>
                <w:sz w:val="18"/>
                <w:szCs w:val="18"/>
              </w:rPr>
              <w:t>3587,00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55" w:rsidRDefault="00B00055" w:rsidP="0096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179,35</w:t>
            </w:r>
          </w:p>
          <w:p w:rsidR="00B00055" w:rsidRPr="0097457B" w:rsidRDefault="00B00055" w:rsidP="00964F92">
            <w:pPr>
              <w:rPr>
                <w:sz w:val="18"/>
                <w:szCs w:val="18"/>
              </w:rPr>
            </w:pPr>
          </w:p>
          <w:p w:rsidR="00B00055" w:rsidRPr="0097457B" w:rsidRDefault="00B00055" w:rsidP="00964F92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55" w:rsidRPr="0097457B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745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10227,47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97457B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9728,60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  <w:highlight w:val="red"/>
              </w:rPr>
            </w:pPr>
            <w:r w:rsidRPr="0097457B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23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706563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06563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 «Развитие населенных пунктов муниципального образования </w:t>
            </w:r>
            <w:proofErr w:type="spellStart"/>
            <w:r w:rsidRPr="00706563"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 w:rsidRPr="00706563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 </w:t>
            </w:r>
            <w:proofErr w:type="spellStart"/>
            <w:r w:rsidRPr="00706563">
              <w:rPr>
                <w:rFonts w:ascii="Times New Roman" w:hAnsi="Times New Roman"/>
                <w:b/>
                <w:sz w:val="18"/>
                <w:szCs w:val="18"/>
              </w:rPr>
              <w:t>Киришского</w:t>
            </w:r>
            <w:proofErr w:type="spellEnd"/>
            <w:r w:rsidRPr="00706563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Ленинградской области»</w:t>
            </w: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706563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B945E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2631,79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131,79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378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706563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706563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B945E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2630,65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130,65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4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706563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706563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2625,00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427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7887,44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8427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18427C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387,44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2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B42C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Соблюдение санитарного состояния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населеных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пуктов</w:t>
            </w:r>
            <w:proofErr w:type="spellEnd"/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B945E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377,98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27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Pr="00B945E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495,00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470,25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24,75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66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F5285A" w:rsidRDefault="00B00055" w:rsidP="00964F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highlight w:val="cyan"/>
              </w:rPr>
            </w:pPr>
            <w:r w:rsidRPr="00112553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A76349" w:rsidRDefault="00B00055" w:rsidP="00964F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349">
              <w:rPr>
                <w:rFonts w:ascii="Times New Roman" w:hAnsi="Times New Roman"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A76349" w:rsidRDefault="00B00055" w:rsidP="00964F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3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A76349" w:rsidRDefault="00B00055" w:rsidP="00964F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349">
              <w:rPr>
                <w:rFonts w:ascii="Times New Roman" w:hAnsi="Times New Roman"/>
                <w:color w:val="000000"/>
                <w:sz w:val="18"/>
                <w:szCs w:val="18"/>
              </w:rPr>
              <w:t>452,35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A76349" w:rsidRDefault="00B00055" w:rsidP="00964F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349">
              <w:rPr>
                <w:rFonts w:ascii="Times New Roman" w:hAnsi="Times New Roman"/>
                <w:color w:val="000000"/>
                <w:sz w:val="18"/>
                <w:szCs w:val="18"/>
              </w:rPr>
              <w:t>22,65</w:t>
            </w:r>
          </w:p>
          <w:p w:rsidR="00B00055" w:rsidRPr="00A76349" w:rsidRDefault="00B00055" w:rsidP="00964F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A76349" w:rsidRDefault="00B00055" w:rsidP="00964F9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34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B945E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1347,98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1281,68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66,30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колодцев питьевой воды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деревнях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риобретения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ведер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42C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54AD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54AD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54ADC" w:rsidRDefault="00B00055" w:rsidP="0096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54ADC" w:rsidRDefault="00B00055" w:rsidP="0096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54ADC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48441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41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0055" w:rsidRPr="00CB42CE" w:rsidTr="00964F92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350,52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333,12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B42C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495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1.3.</w:t>
            </w:r>
          </w:p>
        </w:tc>
        <w:tc>
          <w:tcPr>
            <w:tcW w:w="2133" w:type="dxa"/>
            <w:gridSpan w:val="2"/>
            <w:vMerge w:val="restart"/>
          </w:tcPr>
          <w:p w:rsidR="00B00055" w:rsidRPr="00CD46C3" w:rsidRDefault="00B00055" w:rsidP="0096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колодцев питьевой воды в деревнях</w:t>
            </w:r>
          </w:p>
        </w:tc>
        <w:tc>
          <w:tcPr>
            <w:tcW w:w="1752" w:type="dxa"/>
            <w:gridSpan w:val="2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shd w:val="clear" w:color="auto" w:fill="FFFFFF"/>
          </w:tcPr>
          <w:p w:rsidR="00B00055" w:rsidRPr="000B59D8" w:rsidRDefault="00B00055" w:rsidP="00964F92">
            <w:pPr>
              <w:tabs>
                <w:tab w:val="left" w:pos="1209"/>
              </w:tabs>
            </w:pPr>
            <w:r>
              <w:t>348,00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330,60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17,40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559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shd w:val="clear" w:color="auto" w:fill="FFFFFF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174,00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165,30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8,70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shd w:val="clear" w:color="auto" w:fill="FFFFFF"/>
          </w:tcPr>
          <w:p w:rsidR="00B00055" w:rsidRPr="00BF421C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522,00</w:t>
            </w:r>
          </w:p>
        </w:tc>
        <w:tc>
          <w:tcPr>
            <w:tcW w:w="1467" w:type="dxa"/>
          </w:tcPr>
          <w:p w:rsidR="00B00055" w:rsidRPr="00BF421C" w:rsidRDefault="00B00055" w:rsidP="00964F92">
            <w:pPr>
              <w:tabs>
                <w:tab w:val="left" w:pos="1209"/>
              </w:tabs>
            </w:pPr>
            <w:r w:rsidRPr="00BF421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Pr="00BF421C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495,90</w:t>
            </w:r>
          </w:p>
        </w:tc>
        <w:tc>
          <w:tcPr>
            <w:tcW w:w="1426" w:type="dxa"/>
          </w:tcPr>
          <w:p w:rsidR="00B00055" w:rsidRPr="00BF421C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26,10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520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1.4.</w:t>
            </w:r>
          </w:p>
        </w:tc>
        <w:tc>
          <w:tcPr>
            <w:tcW w:w="2119" w:type="dxa"/>
            <w:vMerge w:val="restart"/>
          </w:tcPr>
          <w:p w:rsidR="00B00055" w:rsidRPr="00CD46C3" w:rsidRDefault="00B00055" w:rsidP="0096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требований пожарной безопасности в деревнях</w:t>
            </w:r>
          </w:p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D46C3">
              <w:rPr>
                <w:sz w:val="18"/>
                <w:szCs w:val="18"/>
              </w:rPr>
              <w:t>Пчевского</w:t>
            </w:r>
            <w:proofErr w:type="spellEnd"/>
            <w:r w:rsidRPr="00CD46C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B00055" w:rsidRPr="0037114A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345" w:type="dxa"/>
            <w:gridSpan w:val="4"/>
            <w:vMerge w:val="restart"/>
          </w:tcPr>
          <w:p w:rsidR="00B00055" w:rsidRPr="0037114A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37114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37114A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  <w:shd w:val="clear" w:color="auto" w:fill="FFFFFF"/>
          </w:tcPr>
          <w:p w:rsidR="00B00055" w:rsidRPr="0037114A" w:rsidRDefault="00B00055" w:rsidP="00964F92">
            <w:pPr>
              <w:tabs>
                <w:tab w:val="left" w:pos="1209"/>
              </w:tabs>
            </w:pPr>
            <w:r>
              <w:t>260,59</w:t>
            </w:r>
          </w:p>
        </w:tc>
        <w:tc>
          <w:tcPr>
            <w:tcW w:w="1467" w:type="dxa"/>
          </w:tcPr>
          <w:p w:rsidR="00B00055" w:rsidRPr="0037114A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Pr="0037114A" w:rsidRDefault="00B00055" w:rsidP="00964F92">
            <w:pPr>
              <w:tabs>
                <w:tab w:val="left" w:pos="1209"/>
              </w:tabs>
            </w:pPr>
            <w:r>
              <w:t>247,24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13,35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539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19" w:type="dxa"/>
            <w:vMerge/>
          </w:tcPr>
          <w:p w:rsidR="00B00055" w:rsidRDefault="00B00055" w:rsidP="00964F9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vMerge/>
          </w:tcPr>
          <w:p w:rsidR="00B00055" w:rsidRPr="0037114A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B00055" w:rsidRPr="0037114A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  <w:shd w:val="clear" w:color="auto" w:fill="FFFFFF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300,00</w:t>
            </w:r>
          </w:p>
        </w:tc>
        <w:tc>
          <w:tcPr>
            <w:tcW w:w="1467" w:type="dxa"/>
          </w:tcPr>
          <w:p w:rsidR="00B00055" w:rsidRPr="0037114A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Pr="0037114A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15,00</w:t>
            </w:r>
          </w:p>
        </w:tc>
        <w:tc>
          <w:tcPr>
            <w:tcW w:w="1235" w:type="dxa"/>
          </w:tcPr>
          <w:p w:rsidR="00B00055" w:rsidRPr="00CB42CE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555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19" w:type="dxa"/>
            <w:vMerge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  <w:shd w:val="clear" w:color="auto" w:fill="FFFFFF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100,00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  <w:shd w:val="clear" w:color="auto" w:fill="auto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95,00</w:t>
            </w:r>
          </w:p>
        </w:tc>
        <w:tc>
          <w:tcPr>
            <w:tcW w:w="1426" w:type="dxa"/>
            <w:shd w:val="clear" w:color="auto" w:fill="auto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5,00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204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CD46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  <w:shd w:val="clear" w:color="auto" w:fill="FFFFFF"/>
          </w:tcPr>
          <w:p w:rsidR="00B00055" w:rsidRPr="00A204EE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660,59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627,24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</w:rPr>
              <w:t>33,35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335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1.5.</w:t>
            </w:r>
          </w:p>
        </w:tc>
        <w:tc>
          <w:tcPr>
            <w:tcW w:w="2133" w:type="dxa"/>
            <w:gridSpan w:val="2"/>
            <w:vMerge w:val="restart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в деревнях</w:t>
            </w:r>
          </w:p>
        </w:tc>
        <w:tc>
          <w:tcPr>
            <w:tcW w:w="1752" w:type="dxa"/>
            <w:gridSpan w:val="2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345" w:type="dxa"/>
            <w:gridSpan w:val="4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839,70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797,71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41,99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381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590,00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560,50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29,50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232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A76349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63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950,00</w:t>
            </w:r>
          </w:p>
        </w:tc>
        <w:tc>
          <w:tcPr>
            <w:tcW w:w="1467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0,00</w:t>
            </w:r>
          </w:p>
        </w:tc>
        <w:tc>
          <w:tcPr>
            <w:tcW w:w="1659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907,65</w:t>
            </w:r>
          </w:p>
        </w:tc>
        <w:tc>
          <w:tcPr>
            <w:tcW w:w="1426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42,35</w:t>
            </w:r>
          </w:p>
        </w:tc>
        <w:tc>
          <w:tcPr>
            <w:tcW w:w="1235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0,00</w:t>
            </w:r>
          </w:p>
        </w:tc>
      </w:tr>
      <w:tr w:rsidR="00B00055" w:rsidTr="00964F92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B00055" w:rsidRPr="00A204EE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2379,70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2265,86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</w:rPr>
              <w:t>113,84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335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1.6.</w:t>
            </w:r>
          </w:p>
        </w:tc>
        <w:tc>
          <w:tcPr>
            <w:tcW w:w="2133" w:type="dxa"/>
            <w:gridSpan w:val="2"/>
            <w:vMerge w:val="restart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752" w:type="dxa"/>
            <w:gridSpan w:val="2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345" w:type="dxa"/>
            <w:gridSpan w:val="4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273,00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259,35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13,65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381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482,00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458,85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23,15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232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100,00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95,00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5,00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B00055" w:rsidRPr="00A204EE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855,00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2338,21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</w:rPr>
              <w:t>116,49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335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1.7.</w:t>
            </w:r>
          </w:p>
        </w:tc>
        <w:tc>
          <w:tcPr>
            <w:tcW w:w="2133" w:type="dxa"/>
            <w:gridSpan w:val="2"/>
            <w:vMerge w:val="restart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благоустройство гражданских кладбищ</w:t>
            </w:r>
          </w:p>
        </w:tc>
        <w:tc>
          <w:tcPr>
            <w:tcW w:w="1752" w:type="dxa"/>
            <w:gridSpan w:val="2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345" w:type="dxa"/>
            <w:gridSpan w:val="4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419,99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398,99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21,00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381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300,00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285,00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15,00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232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350,00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332,50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17,50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B00055" w:rsidRPr="00A204EE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1069,99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1016,49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</w:rPr>
              <w:t>53,50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335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1.8.</w:t>
            </w:r>
          </w:p>
        </w:tc>
        <w:tc>
          <w:tcPr>
            <w:tcW w:w="2133" w:type="dxa"/>
            <w:gridSpan w:val="2"/>
            <w:vMerge w:val="restart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детских игровых площадок в деревнях</w:t>
            </w:r>
          </w:p>
        </w:tc>
        <w:tc>
          <w:tcPr>
            <w:tcW w:w="1752" w:type="dxa"/>
            <w:gridSpan w:val="2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</w:t>
            </w:r>
            <w:r w:rsidRPr="00CB42CE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318" w:type="dxa"/>
            <w:gridSpan w:val="3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345" w:type="dxa"/>
            <w:gridSpan w:val="4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110,01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104,51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5,50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435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115,65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109,80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5,85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232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752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345" w:type="dxa"/>
            <w:gridSpan w:val="4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1250" w:type="dxa"/>
          </w:tcPr>
          <w:p w:rsidR="00B00055" w:rsidRPr="00A76349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63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292,00</w:t>
            </w:r>
          </w:p>
        </w:tc>
        <w:tc>
          <w:tcPr>
            <w:tcW w:w="1467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0,00</w:t>
            </w:r>
          </w:p>
        </w:tc>
        <w:tc>
          <w:tcPr>
            <w:tcW w:w="1659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277,40</w:t>
            </w:r>
          </w:p>
        </w:tc>
        <w:tc>
          <w:tcPr>
            <w:tcW w:w="1426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14,60</w:t>
            </w:r>
          </w:p>
        </w:tc>
        <w:tc>
          <w:tcPr>
            <w:tcW w:w="1235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0,00</w:t>
            </w:r>
          </w:p>
        </w:tc>
      </w:tr>
      <w:tr w:rsidR="00B00055" w:rsidTr="00964F92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B00055" w:rsidRPr="00A204EE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517,66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491,71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</w:rPr>
              <w:t>25,95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1085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1.9.</w:t>
            </w:r>
          </w:p>
        </w:tc>
        <w:tc>
          <w:tcPr>
            <w:tcW w:w="2133" w:type="dxa"/>
            <w:gridSpan w:val="2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уличного освещения в деревнях</w:t>
            </w:r>
          </w:p>
        </w:tc>
        <w:tc>
          <w:tcPr>
            <w:tcW w:w="1752" w:type="dxa"/>
            <w:gridSpan w:val="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345" w:type="dxa"/>
            <w:gridSpan w:val="4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184,00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174,80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9,20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420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B00055" w:rsidRPr="00A204EE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184,00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174,80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</w:rPr>
              <w:t>9,20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1140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2.</w:t>
            </w:r>
          </w:p>
        </w:tc>
        <w:tc>
          <w:tcPr>
            <w:tcW w:w="2133" w:type="dxa"/>
            <w:gridSpan w:val="2"/>
            <w:vMerge w:val="restart"/>
          </w:tcPr>
          <w:p w:rsidR="00B00055" w:rsidRPr="00E627EC" w:rsidRDefault="00B00055" w:rsidP="00964F92">
            <w:pPr>
              <w:tabs>
                <w:tab w:val="left" w:pos="1209"/>
              </w:tabs>
              <w:rPr>
                <w:b/>
                <w:sz w:val="18"/>
                <w:szCs w:val="18"/>
              </w:rPr>
            </w:pPr>
            <w:r w:rsidRPr="00E627EC">
              <w:rPr>
                <w:b/>
                <w:sz w:val="18"/>
                <w:szCs w:val="18"/>
              </w:rPr>
              <w:t xml:space="preserve">Подпрограмма 2 «Развитие административного центра муниципального образования </w:t>
            </w:r>
            <w:proofErr w:type="spellStart"/>
            <w:r w:rsidRPr="00E627EC">
              <w:rPr>
                <w:b/>
                <w:sz w:val="18"/>
                <w:szCs w:val="18"/>
              </w:rPr>
              <w:t>Пчевское</w:t>
            </w:r>
            <w:proofErr w:type="spellEnd"/>
            <w:r w:rsidRPr="00E627EC">
              <w:rPr>
                <w:b/>
                <w:sz w:val="18"/>
                <w:szCs w:val="18"/>
              </w:rPr>
              <w:t xml:space="preserve"> сельское поселение </w:t>
            </w:r>
            <w:proofErr w:type="spellStart"/>
            <w:r w:rsidRPr="00E627EC">
              <w:rPr>
                <w:b/>
                <w:sz w:val="18"/>
                <w:szCs w:val="18"/>
              </w:rPr>
              <w:t>Киришского</w:t>
            </w:r>
            <w:proofErr w:type="spellEnd"/>
            <w:r w:rsidRPr="00E627EC">
              <w:rPr>
                <w:b/>
                <w:sz w:val="18"/>
                <w:szCs w:val="18"/>
              </w:rPr>
              <w:t xml:space="preserve"> муниципального района Ленинградской области»</w:t>
            </w:r>
          </w:p>
        </w:tc>
        <w:tc>
          <w:tcPr>
            <w:tcW w:w="1752" w:type="dxa"/>
            <w:gridSpan w:val="2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1198,68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1141,60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57,08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1140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Pr="00E627EC" w:rsidRDefault="00B00055" w:rsidP="00964F92">
            <w:pPr>
              <w:tabs>
                <w:tab w:val="left" w:pos="120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</w:tcPr>
          <w:p w:rsidR="00B00055" w:rsidRPr="00CB42CE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vMerge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1141,35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1087,00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54,35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B00055" w:rsidRPr="00A204EE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2340,03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2228,60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</w:rPr>
              <w:t>111,43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488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2.1.</w:t>
            </w:r>
          </w:p>
        </w:tc>
        <w:tc>
          <w:tcPr>
            <w:tcW w:w="2133" w:type="dxa"/>
            <w:gridSpan w:val="2"/>
            <w:vMerge w:val="restart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административного центра</w:t>
            </w:r>
          </w:p>
        </w:tc>
        <w:tc>
          <w:tcPr>
            <w:tcW w:w="1752" w:type="dxa"/>
            <w:gridSpan w:val="2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345" w:type="dxa"/>
            <w:gridSpan w:val="4"/>
            <w:vMerge w:val="restart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CB42CE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68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1198,68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1141,60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57,08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0,00</w:t>
            </w:r>
          </w:p>
        </w:tc>
      </w:tr>
      <w:tr w:rsidR="00B00055" w:rsidTr="00964F92">
        <w:tblPrEx>
          <w:tblLook w:val="0000"/>
        </w:tblPrEx>
        <w:trPr>
          <w:trHeight w:val="487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2133" w:type="dxa"/>
            <w:gridSpan w:val="2"/>
            <w:vMerge/>
          </w:tcPr>
          <w:p w:rsidR="00B00055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</w:tcPr>
          <w:p w:rsidR="00B00055" w:rsidRPr="00CB42CE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B00055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vMerge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B00055" w:rsidRPr="00A76349" w:rsidRDefault="00B00055" w:rsidP="00964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63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B00055" w:rsidRPr="00A76349" w:rsidRDefault="00B00055" w:rsidP="00964F92">
            <w:pPr>
              <w:tabs>
                <w:tab w:val="left" w:pos="1209"/>
              </w:tabs>
              <w:jc w:val="both"/>
            </w:pPr>
            <w:r>
              <w:t>1078,57</w:t>
            </w:r>
          </w:p>
        </w:tc>
        <w:tc>
          <w:tcPr>
            <w:tcW w:w="1467" w:type="dxa"/>
          </w:tcPr>
          <w:p w:rsidR="00B00055" w:rsidRPr="00A76349" w:rsidRDefault="00B00055" w:rsidP="00964F92">
            <w:pPr>
              <w:tabs>
                <w:tab w:val="left" w:pos="1209"/>
              </w:tabs>
              <w:jc w:val="both"/>
            </w:pPr>
            <w:r w:rsidRPr="00A76349">
              <w:t>0,00</w:t>
            </w:r>
          </w:p>
        </w:tc>
        <w:tc>
          <w:tcPr>
            <w:tcW w:w="1659" w:type="dxa"/>
          </w:tcPr>
          <w:p w:rsidR="00B00055" w:rsidRPr="00A76349" w:rsidRDefault="00B00055" w:rsidP="00964F92">
            <w:pPr>
              <w:tabs>
                <w:tab w:val="left" w:pos="1209"/>
              </w:tabs>
              <w:jc w:val="both"/>
            </w:pPr>
            <w:r w:rsidRPr="00A76349">
              <w:t>1024,6</w:t>
            </w:r>
            <w:r>
              <w:t>4</w:t>
            </w:r>
          </w:p>
        </w:tc>
        <w:tc>
          <w:tcPr>
            <w:tcW w:w="1426" w:type="dxa"/>
          </w:tcPr>
          <w:p w:rsidR="00B00055" w:rsidRPr="00A76349" w:rsidRDefault="00B00055" w:rsidP="00964F92">
            <w:pPr>
              <w:tabs>
                <w:tab w:val="left" w:pos="1209"/>
              </w:tabs>
              <w:jc w:val="both"/>
            </w:pPr>
            <w:r w:rsidRPr="00A76349">
              <w:t>53,9</w:t>
            </w:r>
            <w:r>
              <w:t>3</w:t>
            </w:r>
          </w:p>
        </w:tc>
        <w:tc>
          <w:tcPr>
            <w:tcW w:w="1235" w:type="dxa"/>
          </w:tcPr>
          <w:p w:rsidR="00B00055" w:rsidRPr="00A76349" w:rsidRDefault="00B00055" w:rsidP="00964F92">
            <w:pPr>
              <w:tabs>
                <w:tab w:val="left" w:pos="1209"/>
              </w:tabs>
              <w:jc w:val="both"/>
            </w:pPr>
            <w:r w:rsidRPr="00A76349">
              <w:t>0,00</w:t>
            </w:r>
          </w:p>
        </w:tc>
      </w:tr>
      <w:tr w:rsidR="00B00055" w:rsidTr="00964F92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B00055" w:rsidRPr="00A204EE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2277,25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2166,24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</w:rPr>
              <w:t>111,01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  <w:tr w:rsidR="00B00055" w:rsidTr="00964F92">
        <w:tblPrEx>
          <w:tblLook w:val="0000"/>
        </w:tblPrEx>
        <w:trPr>
          <w:trHeight w:val="985"/>
        </w:trPr>
        <w:tc>
          <w:tcPr>
            <w:tcW w:w="516" w:type="dxa"/>
            <w:vMerge w:val="restart"/>
          </w:tcPr>
          <w:p w:rsidR="00B00055" w:rsidRDefault="00B00055" w:rsidP="00964F92">
            <w:pPr>
              <w:tabs>
                <w:tab w:val="left" w:pos="1209"/>
              </w:tabs>
            </w:pPr>
            <w:r>
              <w:t>2.2.</w:t>
            </w:r>
          </w:p>
        </w:tc>
        <w:tc>
          <w:tcPr>
            <w:tcW w:w="2133" w:type="dxa"/>
            <w:gridSpan w:val="2"/>
          </w:tcPr>
          <w:p w:rsidR="00B00055" w:rsidRPr="00CD46C3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административного центра</w:t>
            </w:r>
          </w:p>
        </w:tc>
        <w:tc>
          <w:tcPr>
            <w:tcW w:w="1752" w:type="dxa"/>
            <w:gridSpan w:val="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B42CE">
              <w:rPr>
                <w:sz w:val="18"/>
                <w:szCs w:val="18"/>
              </w:rPr>
              <w:t>Пчевского</w:t>
            </w:r>
            <w:proofErr w:type="spellEnd"/>
            <w:r w:rsidRPr="00CB42C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8" w:type="dxa"/>
            <w:gridSpan w:val="3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345" w:type="dxa"/>
            <w:gridSpan w:val="4"/>
          </w:tcPr>
          <w:p w:rsidR="00B00055" w:rsidRPr="005B76EF" w:rsidRDefault="00B00055" w:rsidP="00964F92">
            <w:pPr>
              <w:tabs>
                <w:tab w:val="left" w:pos="1209"/>
              </w:tabs>
              <w:rPr>
                <w:sz w:val="18"/>
                <w:szCs w:val="18"/>
              </w:rPr>
            </w:pPr>
            <w:r w:rsidRPr="005B76EF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00055" w:rsidRPr="00A76349" w:rsidRDefault="00B00055" w:rsidP="00964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63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68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>
              <w:t>62,78</w:t>
            </w:r>
          </w:p>
        </w:tc>
        <w:tc>
          <w:tcPr>
            <w:tcW w:w="1467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0,00</w:t>
            </w:r>
          </w:p>
        </w:tc>
        <w:tc>
          <w:tcPr>
            <w:tcW w:w="1659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>
              <w:t>62,36</w:t>
            </w:r>
          </w:p>
        </w:tc>
        <w:tc>
          <w:tcPr>
            <w:tcW w:w="1426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>
              <w:t>0,42</w:t>
            </w:r>
          </w:p>
        </w:tc>
        <w:tc>
          <w:tcPr>
            <w:tcW w:w="1235" w:type="dxa"/>
          </w:tcPr>
          <w:p w:rsidR="00B00055" w:rsidRPr="00A76349" w:rsidRDefault="00B00055" w:rsidP="00964F92">
            <w:pPr>
              <w:tabs>
                <w:tab w:val="left" w:pos="1209"/>
              </w:tabs>
            </w:pPr>
            <w:r w:rsidRPr="00A76349">
              <w:t>0,00</w:t>
            </w:r>
          </w:p>
        </w:tc>
      </w:tr>
      <w:tr w:rsidR="00B00055" w:rsidTr="00964F92">
        <w:tblPrEx>
          <w:tblLook w:val="0000"/>
        </w:tblPrEx>
        <w:trPr>
          <w:trHeight w:val="217"/>
        </w:trPr>
        <w:tc>
          <w:tcPr>
            <w:tcW w:w="516" w:type="dxa"/>
            <w:vMerge/>
          </w:tcPr>
          <w:p w:rsidR="00B00055" w:rsidRDefault="00B00055" w:rsidP="00964F92">
            <w:pPr>
              <w:tabs>
                <w:tab w:val="left" w:pos="1209"/>
              </w:tabs>
            </w:pPr>
          </w:p>
        </w:tc>
        <w:tc>
          <w:tcPr>
            <w:tcW w:w="7798" w:type="dxa"/>
            <w:gridSpan w:val="12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68" w:type="dxa"/>
          </w:tcPr>
          <w:p w:rsidR="00B00055" w:rsidRPr="00A204EE" w:rsidRDefault="00B00055" w:rsidP="00964F92">
            <w:pPr>
              <w:tabs>
                <w:tab w:val="left" w:pos="1209"/>
              </w:tabs>
              <w:rPr>
                <w:b/>
              </w:rPr>
            </w:pPr>
            <w:r>
              <w:rPr>
                <w:b/>
              </w:rPr>
              <w:t>62,78</w:t>
            </w:r>
          </w:p>
        </w:tc>
        <w:tc>
          <w:tcPr>
            <w:tcW w:w="1467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59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  <w:sz w:val="18"/>
                <w:szCs w:val="18"/>
              </w:rPr>
              <w:t>62,36</w:t>
            </w:r>
          </w:p>
        </w:tc>
        <w:tc>
          <w:tcPr>
            <w:tcW w:w="1426" w:type="dxa"/>
          </w:tcPr>
          <w:p w:rsidR="00B00055" w:rsidRDefault="00B00055" w:rsidP="00964F92">
            <w:pPr>
              <w:tabs>
                <w:tab w:val="left" w:pos="1209"/>
              </w:tabs>
            </w:pPr>
            <w:r>
              <w:rPr>
                <w:b/>
              </w:rPr>
              <w:t>0,42</w:t>
            </w:r>
          </w:p>
        </w:tc>
        <w:tc>
          <w:tcPr>
            <w:tcW w:w="1235" w:type="dxa"/>
          </w:tcPr>
          <w:p w:rsidR="00B00055" w:rsidRDefault="00B00055" w:rsidP="00964F92">
            <w:pPr>
              <w:tabs>
                <w:tab w:val="left" w:pos="1209"/>
              </w:tabs>
            </w:pPr>
            <w:r w:rsidRPr="00CB42CE">
              <w:rPr>
                <w:b/>
                <w:sz w:val="18"/>
                <w:szCs w:val="18"/>
              </w:rPr>
              <w:t>0,00</w:t>
            </w:r>
          </w:p>
        </w:tc>
      </w:tr>
    </w:tbl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</w:p>
    <w:p w:rsidR="00B00055" w:rsidRPr="00D1309A" w:rsidRDefault="00B00055" w:rsidP="00B00055">
      <w:pPr>
        <w:jc w:val="right"/>
        <w:rPr>
          <w:sz w:val="16"/>
          <w:szCs w:val="16"/>
        </w:rPr>
      </w:pPr>
      <w:r>
        <w:br w:type="page"/>
      </w:r>
      <w:r w:rsidRPr="00D1309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:rsidR="00B00055" w:rsidRPr="00D1309A" w:rsidRDefault="00B00055" w:rsidP="00B00055">
      <w:pPr>
        <w:jc w:val="right"/>
        <w:rPr>
          <w:rFonts w:eastAsia="Calibri"/>
          <w:sz w:val="16"/>
          <w:szCs w:val="16"/>
          <w:lang w:eastAsia="en-US"/>
        </w:rPr>
      </w:pPr>
      <w:r w:rsidRPr="00D1309A">
        <w:rPr>
          <w:rFonts w:eastAsia="Calibri"/>
          <w:sz w:val="16"/>
          <w:szCs w:val="16"/>
          <w:lang w:eastAsia="en-US"/>
        </w:rPr>
        <w:t>к постановлению от</w:t>
      </w:r>
      <w:r>
        <w:rPr>
          <w:rFonts w:eastAsia="Calibri"/>
          <w:sz w:val="16"/>
          <w:szCs w:val="16"/>
          <w:lang w:eastAsia="en-US"/>
        </w:rPr>
        <w:t xml:space="preserve"> 27</w:t>
      </w:r>
      <w:r w:rsidRPr="00D1309A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декабря   2017 года  № 139 </w:t>
      </w:r>
      <w:r w:rsidRPr="00D1309A">
        <w:rPr>
          <w:rFonts w:eastAsia="Calibri"/>
          <w:sz w:val="16"/>
          <w:szCs w:val="16"/>
          <w:lang w:eastAsia="en-US"/>
        </w:rPr>
        <w:t xml:space="preserve">  </w:t>
      </w:r>
    </w:p>
    <w:p w:rsidR="00B00055" w:rsidRPr="00D1309A" w:rsidRDefault="00B00055" w:rsidP="00B00055">
      <w:pPr>
        <w:rPr>
          <w:sz w:val="16"/>
          <w:szCs w:val="16"/>
        </w:rPr>
      </w:pPr>
    </w:p>
    <w:p w:rsidR="00B00055" w:rsidRPr="00D1309A" w:rsidRDefault="00B00055" w:rsidP="00B00055">
      <w:pPr>
        <w:jc w:val="center"/>
        <w:rPr>
          <w:b/>
          <w:sz w:val="24"/>
          <w:szCs w:val="24"/>
        </w:rPr>
      </w:pPr>
      <w:r w:rsidRPr="00D1309A"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B00055" w:rsidRPr="00D1309A" w:rsidRDefault="00B00055" w:rsidP="00B00055">
      <w:pPr>
        <w:jc w:val="center"/>
        <w:rPr>
          <w:b/>
          <w:sz w:val="24"/>
          <w:szCs w:val="24"/>
        </w:rPr>
      </w:pPr>
      <w:r w:rsidRPr="00D1309A">
        <w:rPr>
          <w:b/>
          <w:sz w:val="24"/>
          <w:szCs w:val="24"/>
        </w:rPr>
        <w:t>«Развитие частей территории муниципального образования</w:t>
      </w:r>
    </w:p>
    <w:p w:rsidR="00B00055" w:rsidRPr="00D1309A" w:rsidRDefault="00B00055" w:rsidP="00B00055">
      <w:pPr>
        <w:jc w:val="center"/>
        <w:rPr>
          <w:b/>
          <w:sz w:val="24"/>
          <w:szCs w:val="24"/>
        </w:rPr>
      </w:pPr>
      <w:proofErr w:type="spellStart"/>
      <w:r w:rsidRPr="00D1309A">
        <w:rPr>
          <w:b/>
          <w:sz w:val="24"/>
          <w:szCs w:val="24"/>
        </w:rPr>
        <w:t>Пчевское</w:t>
      </w:r>
      <w:proofErr w:type="spellEnd"/>
      <w:r w:rsidRPr="00D1309A">
        <w:rPr>
          <w:b/>
          <w:sz w:val="24"/>
          <w:szCs w:val="24"/>
        </w:rPr>
        <w:t xml:space="preserve"> сельское поселение </w:t>
      </w:r>
      <w:proofErr w:type="spellStart"/>
      <w:r w:rsidRPr="00D1309A">
        <w:rPr>
          <w:b/>
          <w:sz w:val="24"/>
          <w:szCs w:val="24"/>
        </w:rPr>
        <w:t>Киришского</w:t>
      </w:r>
      <w:proofErr w:type="spellEnd"/>
      <w:r w:rsidRPr="00D1309A">
        <w:rPr>
          <w:b/>
          <w:sz w:val="24"/>
          <w:szCs w:val="24"/>
        </w:rPr>
        <w:t xml:space="preserve"> муниципального района Ленинградской области» и их значениях</w:t>
      </w:r>
    </w:p>
    <w:p w:rsidR="00B00055" w:rsidRPr="00D1309A" w:rsidRDefault="00B00055" w:rsidP="00B0005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0"/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66"/>
        <w:gridCol w:w="5528"/>
        <w:gridCol w:w="1417"/>
        <w:gridCol w:w="1560"/>
        <w:gridCol w:w="1701"/>
        <w:gridCol w:w="1275"/>
        <w:gridCol w:w="3261"/>
        <w:gridCol w:w="850"/>
      </w:tblGrid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N</w:t>
            </w:r>
          </w:p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1309A">
              <w:t>п</w:t>
            </w:r>
            <w:proofErr w:type="spellEnd"/>
            <w:proofErr w:type="gramEnd"/>
            <w:r w:rsidRPr="00D1309A">
              <w:t>/</w:t>
            </w:r>
            <w:proofErr w:type="spellStart"/>
            <w:r w:rsidRPr="00D1309A">
              <w:t>п</w:t>
            </w:r>
            <w:proofErr w:type="spellEnd"/>
          </w:p>
        </w:tc>
        <w:tc>
          <w:tcPr>
            <w:tcW w:w="5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Показатель (индикатор) (наименование)</w:t>
            </w:r>
          </w:p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 xml:space="preserve">Единица  </w:t>
            </w:r>
            <w:r w:rsidRPr="00D1309A">
              <w:br/>
              <w:t>измерения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Значения показателей (индикаторов)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Базовый период</w:t>
            </w:r>
          </w:p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(2014 год)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Плановый период</w:t>
            </w:r>
          </w:p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(2015 год)</w:t>
            </w:r>
          </w:p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2016 год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2017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1309A">
              <w:rPr>
                <w:i/>
              </w:rPr>
              <w:t>1. Соблюдение санитарного состояния населенных пунктов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1.1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rPr>
                <w:rFonts w:eastAsia="Calibri"/>
              </w:rPr>
            </w:pPr>
            <w:r w:rsidRPr="00D1309A">
              <w:rPr>
                <w:rFonts w:eastAsia="Calibri"/>
              </w:rPr>
              <w:t>Доля  населенных пунктов, содержащихся с соблюдением санитарных требований к общему количеству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1309A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1309A">
              <w:t>100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152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1309A">
              <w:rPr>
                <w:i/>
              </w:rPr>
              <w:t>2.</w:t>
            </w:r>
            <w:r w:rsidRPr="00D1309A">
              <w:t xml:space="preserve"> </w:t>
            </w:r>
            <w:r w:rsidRPr="00D1309A">
              <w:rPr>
                <w:i/>
              </w:rPr>
              <w:t>Ремонт колодцев питьевой воды в деревнях,</w:t>
            </w:r>
            <w:r w:rsidRPr="00D1309A">
              <w:rPr>
                <w:rFonts w:ascii="Arial" w:hAnsi="Arial" w:cs="Arial"/>
              </w:rPr>
              <w:t xml:space="preserve"> </w:t>
            </w:r>
            <w:r w:rsidRPr="00D1309A">
              <w:rPr>
                <w:i/>
              </w:rPr>
              <w:t>приобретение ведер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2.1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rPr>
                <w:rFonts w:eastAsia="Calibri"/>
              </w:rPr>
            </w:pPr>
            <w:r w:rsidRPr="00D1309A">
              <w:rPr>
                <w:rFonts w:eastAsia="Calibri"/>
              </w:rPr>
              <w:t>Доля  отремонтированных колодцев к общему количеству колодцев  в деревнях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rPr>
                <w:i/>
              </w:rPr>
              <w:t>3.</w:t>
            </w:r>
            <w:r w:rsidRPr="00D1309A">
              <w:t xml:space="preserve"> </w:t>
            </w:r>
            <w:r w:rsidRPr="00D1309A">
              <w:rPr>
                <w:i/>
              </w:rPr>
              <w:t>Ремонт колодцев питьевой воды в деревнях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3.1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rPr>
                <w:rFonts w:eastAsia="Calibri"/>
              </w:rPr>
            </w:pPr>
            <w:r w:rsidRPr="00D1309A">
              <w:rPr>
                <w:rFonts w:eastAsia="Calibri"/>
              </w:rPr>
              <w:t>Доля  отремонтированных колодцев к общему количеству колодцев  в деревнях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75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1309A">
              <w:rPr>
                <w:i/>
              </w:rPr>
              <w:t>4.</w:t>
            </w:r>
            <w:r w:rsidRPr="00D1309A">
              <w:t xml:space="preserve"> </w:t>
            </w:r>
            <w:r w:rsidRPr="00D1309A">
              <w:rPr>
                <w:i/>
              </w:rPr>
              <w:t>Соблюдение требований пожарной безопасности в деревнях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4.1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Доля деревень, обеспеченных нормативным количеством обустроенных пожарных водоемов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75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1309A">
              <w:rPr>
                <w:i/>
              </w:rPr>
              <w:t>5. Ремонт автомобильных дорог в деревнях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5.1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Доля протяженности отремонтированных автомобильных дорог в деревнях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</w:p>
        </w:tc>
        <w:tc>
          <w:tcPr>
            <w:tcW w:w="1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1309A">
              <w:rPr>
                <w:i/>
              </w:rPr>
              <w:t>6. Благоустройство населенных пунктов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6.1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Доля благоустроенных деревень к общему количеству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rPr>
                <w:i/>
              </w:rPr>
              <w:t>7</w:t>
            </w:r>
            <w:r w:rsidRPr="00D1309A">
              <w:t xml:space="preserve">. </w:t>
            </w:r>
            <w:r w:rsidRPr="00D1309A">
              <w:rPr>
                <w:i/>
              </w:rPr>
              <w:t>Содержание и благоустройство гражданских кладбищ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7.1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Доля гражданских кладбищ содержащихся в нормативном состоянии к общему количеству гражданских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1309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1309A">
              <w:rPr>
                <w:i/>
              </w:rPr>
              <w:t>8. Организация детских  игровых площадок в деревнях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8.1</w:t>
            </w:r>
          </w:p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Доля деревень, обеспеченных детскими игровыми площадками к общему количеству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211"/>
          <w:tblCellSpacing w:w="5" w:type="nil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rPr>
                <w:i/>
              </w:rPr>
              <w:t>9. Организация уличного освещения в деревнях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lastRenderedPageBreak/>
              <w:t>9.1</w:t>
            </w:r>
          </w:p>
        </w:tc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Доля работающих светильников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не менее 90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1309A">
              <w:rPr>
                <w:i/>
              </w:rPr>
              <w:t>10. Ремонт автомобильных дорог административного центра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Доля отремонтированных дорог общего пользования к концу 2017 года составит не менее 4% к общей протяженности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trHeight w:val="70"/>
          <w:tblCellSpacing w:w="5" w:type="nil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1309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D1309A">
              <w:rPr>
                <w:i/>
              </w:rPr>
              <w:t xml:space="preserve">. </w:t>
            </w:r>
            <w:r>
              <w:rPr>
                <w:i/>
              </w:rPr>
              <w:t>Благоустройство административного центра</w:t>
            </w:r>
          </w:p>
        </w:tc>
      </w:tr>
      <w:tr w:rsidR="00B00055" w:rsidRPr="00D1309A" w:rsidTr="00964F92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 w:rsidRPr="00D1309A">
              <w:t>10.1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</w:pPr>
            <w:r>
              <w:t xml:space="preserve">Доля </w:t>
            </w:r>
            <w:r w:rsidRPr="00DC16BF">
              <w:t xml:space="preserve"> благоустроенных территорий, соответствующих требованиям и нормам действующего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 w:rsidRPr="00D130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55" w:rsidRPr="00D1309A" w:rsidRDefault="00B00055" w:rsidP="00964F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B00055" w:rsidRDefault="00B00055" w:rsidP="00B00055">
      <w:pPr>
        <w:ind w:left="1068"/>
      </w:pPr>
    </w:p>
    <w:p w:rsidR="00B00055" w:rsidRDefault="00B00055" w:rsidP="00B00055">
      <w:pPr>
        <w:ind w:left="1068"/>
      </w:pPr>
      <w:r>
        <w:br w:type="page"/>
      </w:r>
    </w:p>
    <w:p w:rsidR="00B00055" w:rsidRPr="00AB0E9D" w:rsidRDefault="00B00055" w:rsidP="00B00055">
      <w:pPr>
        <w:jc w:val="right"/>
        <w:rPr>
          <w:sz w:val="16"/>
          <w:szCs w:val="16"/>
        </w:rPr>
      </w:pPr>
      <w:r w:rsidRPr="00AB0E9D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1</w:t>
      </w:r>
    </w:p>
    <w:p w:rsidR="00B00055" w:rsidRPr="00AB0E9D" w:rsidRDefault="00B00055" w:rsidP="00B00055">
      <w:pPr>
        <w:jc w:val="right"/>
        <w:rPr>
          <w:rFonts w:eastAsia="Calibri"/>
          <w:sz w:val="16"/>
          <w:szCs w:val="16"/>
          <w:lang w:eastAsia="en-US"/>
        </w:rPr>
      </w:pPr>
      <w:r w:rsidRPr="00AB0E9D">
        <w:rPr>
          <w:rFonts w:eastAsia="Calibri"/>
          <w:sz w:val="16"/>
          <w:szCs w:val="16"/>
          <w:lang w:eastAsia="en-US"/>
        </w:rPr>
        <w:t>к постановлению от</w:t>
      </w:r>
      <w:r>
        <w:rPr>
          <w:rFonts w:eastAsia="Calibri"/>
          <w:sz w:val="16"/>
          <w:szCs w:val="16"/>
          <w:lang w:eastAsia="en-US"/>
        </w:rPr>
        <w:t xml:space="preserve"> 27 </w:t>
      </w:r>
      <w:r w:rsidRPr="00AB0E9D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декабря </w:t>
      </w:r>
      <w:r w:rsidRPr="00AB0E9D">
        <w:rPr>
          <w:rFonts w:eastAsia="Calibri"/>
          <w:sz w:val="16"/>
          <w:szCs w:val="16"/>
          <w:lang w:eastAsia="en-US"/>
        </w:rPr>
        <w:t xml:space="preserve">  2017 года  </w:t>
      </w:r>
      <w:r>
        <w:rPr>
          <w:rFonts w:eastAsia="Calibri"/>
          <w:sz w:val="16"/>
          <w:szCs w:val="16"/>
          <w:lang w:eastAsia="en-US"/>
        </w:rPr>
        <w:t>№ 139</w:t>
      </w:r>
    </w:p>
    <w:p w:rsidR="00B00055" w:rsidRPr="00AB0E9D" w:rsidRDefault="00B00055" w:rsidP="00B00055">
      <w:pPr>
        <w:rPr>
          <w:sz w:val="16"/>
          <w:szCs w:val="16"/>
        </w:rPr>
      </w:pPr>
    </w:p>
    <w:p w:rsidR="00B00055" w:rsidRPr="00AB0E9D" w:rsidRDefault="00B00055" w:rsidP="00B00055">
      <w:pPr>
        <w:jc w:val="center"/>
        <w:rPr>
          <w:b/>
          <w:sz w:val="24"/>
          <w:szCs w:val="24"/>
        </w:rPr>
      </w:pPr>
      <w:r w:rsidRPr="00AB0E9D">
        <w:rPr>
          <w:b/>
          <w:sz w:val="24"/>
          <w:szCs w:val="24"/>
        </w:rPr>
        <w:t>Перечень основных мероприятий муниципальной программы</w:t>
      </w:r>
    </w:p>
    <w:p w:rsidR="00B00055" w:rsidRPr="00AB0E9D" w:rsidRDefault="00B00055" w:rsidP="00B00055">
      <w:pPr>
        <w:jc w:val="center"/>
        <w:rPr>
          <w:b/>
          <w:sz w:val="24"/>
          <w:szCs w:val="24"/>
        </w:rPr>
      </w:pPr>
      <w:r w:rsidRPr="00AB0E9D">
        <w:rPr>
          <w:b/>
          <w:sz w:val="24"/>
          <w:szCs w:val="24"/>
        </w:rPr>
        <w:t>«Развитие частей территории муниципального образования</w:t>
      </w:r>
    </w:p>
    <w:p w:rsidR="00B00055" w:rsidRPr="00AB0E9D" w:rsidRDefault="00B00055" w:rsidP="00B00055">
      <w:pPr>
        <w:jc w:val="center"/>
        <w:rPr>
          <w:b/>
          <w:sz w:val="24"/>
          <w:szCs w:val="24"/>
        </w:rPr>
      </w:pPr>
      <w:proofErr w:type="spellStart"/>
      <w:r w:rsidRPr="00AB0E9D">
        <w:rPr>
          <w:b/>
          <w:sz w:val="24"/>
          <w:szCs w:val="24"/>
        </w:rPr>
        <w:t>Пчевское</w:t>
      </w:r>
      <w:proofErr w:type="spellEnd"/>
      <w:r w:rsidRPr="00AB0E9D">
        <w:rPr>
          <w:b/>
          <w:sz w:val="24"/>
          <w:szCs w:val="24"/>
        </w:rPr>
        <w:t xml:space="preserve"> сельское поселение </w:t>
      </w:r>
      <w:proofErr w:type="spellStart"/>
      <w:r w:rsidRPr="00AB0E9D">
        <w:rPr>
          <w:b/>
          <w:sz w:val="24"/>
          <w:szCs w:val="24"/>
        </w:rPr>
        <w:t>Киришского</w:t>
      </w:r>
      <w:proofErr w:type="spellEnd"/>
      <w:r w:rsidRPr="00AB0E9D">
        <w:rPr>
          <w:b/>
          <w:sz w:val="24"/>
          <w:szCs w:val="24"/>
        </w:rPr>
        <w:t xml:space="preserve"> муниципального района Ленинградской области»</w:t>
      </w:r>
    </w:p>
    <w:p w:rsidR="00B00055" w:rsidRPr="00AB0E9D" w:rsidRDefault="00B00055" w:rsidP="00B00055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174"/>
        <w:gridCol w:w="2128"/>
        <w:gridCol w:w="1260"/>
        <w:gridCol w:w="1260"/>
        <w:gridCol w:w="3780"/>
        <w:gridCol w:w="3904"/>
      </w:tblGrid>
      <w:tr w:rsidR="00B00055" w:rsidRPr="00AB0E9D" w:rsidTr="00964F92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№</w:t>
            </w:r>
          </w:p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AB0E9D">
              <w:rPr>
                <w:rFonts w:eastAsia="Calibri"/>
              </w:rPr>
              <w:t>п</w:t>
            </w:r>
            <w:proofErr w:type="spellEnd"/>
            <w:proofErr w:type="gramEnd"/>
            <w:r w:rsidRPr="00AB0E9D">
              <w:rPr>
                <w:rFonts w:eastAsia="Calibri"/>
              </w:rPr>
              <w:t>/</w:t>
            </w:r>
            <w:proofErr w:type="spellStart"/>
            <w:r w:rsidRPr="00AB0E9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proofErr w:type="gramStart"/>
            <w:r w:rsidRPr="00AB0E9D">
              <w:rPr>
                <w:rFonts w:eastAsia="Calibri"/>
              </w:rPr>
              <w:t>Ответственный</w:t>
            </w:r>
            <w:proofErr w:type="gramEnd"/>
            <w:r w:rsidRPr="00AB0E9D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904" w:type="dxa"/>
            <w:vMerge w:val="restart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Показатели реализации</w:t>
            </w:r>
          </w:p>
        </w:tc>
      </w:tr>
      <w:tr w:rsidR="00B00055" w:rsidRPr="00AB0E9D" w:rsidTr="00964F92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окончания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</w:p>
        </w:tc>
        <w:tc>
          <w:tcPr>
            <w:tcW w:w="3904" w:type="dxa"/>
            <w:vMerge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</w:p>
        </w:tc>
      </w:tr>
      <w:tr w:rsidR="00B00055" w:rsidRPr="00AB0E9D" w:rsidTr="00964F92">
        <w:trPr>
          <w:trHeight w:val="223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6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7</w:t>
            </w:r>
          </w:p>
        </w:tc>
      </w:tr>
      <w:tr w:rsidR="00B00055" w:rsidRPr="00AB0E9D" w:rsidTr="00964F92">
        <w:trPr>
          <w:trHeight w:val="223"/>
        </w:trPr>
        <w:tc>
          <w:tcPr>
            <w:tcW w:w="14992" w:type="dxa"/>
            <w:gridSpan w:val="7"/>
            <w:shd w:val="clear" w:color="auto" w:fill="auto"/>
          </w:tcPr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  <w:sz w:val="24"/>
                <w:szCs w:val="24"/>
              </w:rPr>
              <w:t xml:space="preserve">Подпрограмма 1 </w:t>
            </w:r>
            <w:r w:rsidRPr="00AB0E9D">
              <w:rPr>
                <w:sz w:val="24"/>
                <w:szCs w:val="24"/>
              </w:rPr>
              <w:t xml:space="preserve">«Развитие населенных пунктов муниципального образования </w:t>
            </w:r>
            <w:proofErr w:type="spellStart"/>
            <w:r w:rsidRPr="00AB0E9D">
              <w:rPr>
                <w:sz w:val="24"/>
                <w:szCs w:val="24"/>
              </w:rPr>
              <w:t>Пчевское</w:t>
            </w:r>
            <w:proofErr w:type="spellEnd"/>
            <w:r w:rsidRPr="00AB0E9D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AB0E9D">
              <w:rPr>
                <w:sz w:val="24"/>
                <w:szCs w:val="24"/>
              </w:rPr>
              <w:t>Киришского</w:t>
            </w:r>
            <w:proofErr w:type="spellEnd"/>
            <w:r w:rsidRPr="00AB0E9D"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B00055" w:rsidRPr="00AB0E9D" w:rsidTr="00964F92">
        <w:trPr>
          <w:trHeight w:val="670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pPr>
              <w:rPr>
                <w:bCs/>
              </w:rPr>
            </w:pPr>
            <w:r w:rsidRPr="00AB0E9D">
              <w:t>Соблюдение санитарного состояния населенных пунктов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ухудшение санитарного и экологического состояния деревень;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pPr>
              <w:autoSpaceDE w:val="0"/>
              <w:autoSpaceDN w:val="0"/>
              <w:adjustRightInd w:val="0"/>
              <w:jc w:val="both"/>
            </w:pPr>
            <w:r w:rsidRPr="00AB0E9D">
              <w:t>Доля населенных пунктов, содержащихся с соблюдением санитарных требований к общему количеству населенных пунктов</w:t>
            </w:r>
          </w:p>
        </w:tc>
      </w:tr>
      <w:tr w:rsidR="00B00055" w:rsidRPr="00AB0E9D" w:rsidTr="00964F92">
        <w:trPr>
          <w:trHeight w:val="931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r w:rsidRPr="00AB0E9D">
              <w:t>Ремонт колодцев питьевой воды в деревнях, приобретение ведер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ненадлежащее обеспечение жителей деревень питьевой водой;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несоблюдение норм действующего законодательства;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несоблюдение санитарных правил и норм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pPr>
              <w:autoSpaceDE w:val="0"/>
              <w:autoSpaceDN w:val="0"/>
              <w:adjustRightInd w:val="0"/>
              <w:jc w:val="both"/>
            </w:pPr>
            <w:r w:rsidRPr="00AB0E9D">
              <w:t>Доля отремонтированных колодцев к общему количеству колодцев в деревнях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</w:p>
        </w:tc>
      </w:tr>
      <w:tr w:rsidR="00B00055" w:rsidRPr="00AB0E9D" w:rsidTr="00964F92">
        <w:trPr>
          <w:trHeight w:val="931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3.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r w:rsidRPr="00AB0E9D">
              <w:t>Ремонт колодцев питьевой воды в деревнях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ненадлежащее обеспечение жителей деревень питьевой водой;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несоблюдение норм действующего законодательства;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несоблюдение санитарных правил и норм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pPr>
              <w:autoSpaceDE w:val="0"/>
              <w:autoSpaceDN w:val="0"/>
              <w:adjustRightInd w:val="0"/>
              <w:jc w:val="both"/>
            </w:pPr>
            <w:r w:rsidRPr="00AB0E9D">
              <w:t>Доля отремонтированных колодцев к общему количеству колодцев в деревнях</w:t>
            </w:r>
          </w:p>
          <w:p w:rsidR="00B00055" w:rsidRPr="00AB0E9D" w:rsidRDefault="00B00055" w:rsidP="00964F92">
            <w:pPr>
              <w:autoSpaceDE w:val="0"/>
              <w:autoSpaceDN w:val="0"/>
              <w:adjustRightInd w:val="0"/>
              <w:jc w:val="both"/>
            </w:pPr>
          </w:p>
        </w:tc>
      </w:tr>
      <w:tr w:rsidR="00B00055" w:rsidRPr="00AB0E9D" w:rsidTr="00964F92">
        <w:trPr>
          <w:trHeight w:val="715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4.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pPr>
              <w:rPr>
                <w:bCs/>
              </w:rPr>
            </w:pPr>
            <w:r w:rsidRPr="00AB0E9D">
              <w:t>Соблюдение требований пожарной безопасности в деревнях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невыполнение первичных мер пожарной безопасности в деревнях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pPr>
              <w:autoSpaceDE w:val="0"/>
              <w:autoSpaceDN w:val="0"/>
              <w:adjustRightInd w:val="0"/>
              <w:jc w:val="both"/>
            </w:pPr>
            <w:r w:rsidRPr="00AB0E9D">
              <w:t>Доля деревень, обеспеченных нормативным количеством обустроенных пожарных водоемов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</w:p>
        </w:tc>
      </w:tr>
      <w:tr w:rsidR="00B00055" w:rsidRPr="00AB0E9D" w:rsidTr="00964F92">
        <w:trPr>
          <w:trHeight w:val="244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5.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pPr>
              <w:rPr>
                <w:bCs/>
              </w:rPr>
            </w:pPr>
            <w:r w:rsidRPr="00AB0E9D">
              <w:t>Ремонт автомобильных дорог в деревнях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рост уровня аварийности на автомобильных дорогах общего пользования местного значения в деревнях;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lastRenderedPageBreak/>
              <w:t>- ухудшение условий движения транспортных потоков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pPr>
              <w:autoSpaceDE w:val="0"/>
              <w:autoSpaceDN w:val="0"/>
              <w:adjustRightInd w:val="0"/>
              <w:jc w:val="both"/>
            </w:pPr>
            <w:r w:rsidRPr="00AB0E9D">
              <w:lastRenderedPageBreak/>
              <w:t>Доля протяженности отремонтированных автомобильных дорог в деревнях;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</w:p>
        </w:tc>
      </w:tr>
      <w:tr w:rsidR="00B00055" w:rsidRPr="00AB0E9D" w:rsidTr="00964F92">
        <w:trPr>
          <w:trHeight w:val="244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lastRenderedPageBreak/>
              <w:t>6.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r w:rsidRPr="00AB0E9D">
              <w:t>Благоустройство населенных пунктов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t>формирование негативного мнения жителей поселения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pPr>
              <w:autoSpaceDE w:val="0"/>
              <w:autoSpaceDN w:val="0"/>
              <w:adjustRightInd w:val="0"/>
              <w:jc w:val="both"/>
            </w:pPr>
            <w:r w:rsidRPr="00AB0E9D">
              <w:t>Доля благоустроенных деревень к общему количеству населенных пунктов</w:t>
            </w:r>
          </w:p>
        </w:tc>
      </w:tr>
      <w:tr w:rsidR="00B00055" w:rsidRPr="00AB0E9D" w:rsidTr="00964F92">
        <w:trPr>
          <w:trHeight w:val="244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7.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r w:rsidRPr="00AB0E9D">
              <w:t xml:space="preserve">Содержание и благоустройство гражданских кладбищ 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t xml:space="preserve">Несоблюдение норм действующего законодательства, формирование негативного мнения жителей поселения 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pPr>
              <w:autoSpaceDE w:val="0"/>
              <w:autoSpaceDN w:val="0"/>
              <w:adjustRightInd w:val="0"/>
              <w:jc w:val="both"/>
            </w:pPr>
            <w:r w:rsidRPr="00AB0E9D">
              <w:t>Доля гражданских кладбищ, содержащихся в нормативном состоянии к общему количеству гражданских захоронений</w:t>
            </w:r>
          </w:p>
          <w:p w:rsidR="00B00055" w:rsidRPr="00AB0E9D" w:rsidRDefault="00B00055" w:rsidP="00964F92">
            <w:pPr>
              <w:rPr>
                <w:rFonts w:eastAsia="Calibri"/>
              </w:rPr>
            </w:pPr>
          </w:p>
        </w:tc>
      </w:tr>
      <w:tr w:rsidR="00B00055" w:rsidRPr="00AB0E9D" w:rsidTr="00964F92">
        <w:trPr>
          <w:trHeight w:val="244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8.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r w:rsidRPr="00AB0E9D">
              <w:t>Организация детских игровых площадок в деревнях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r w:rsidRPr="00AB0E9D">
              <w:t>формирование негативного мнения жителей поселения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r w:rsidRPr="00AB0E9D">
              <w:t>доля деревень, обеспеченных детскими игровыми площадками к общему количеству населенных пунктов</w:t>
            </w:r>
          </w:p>
        </w:tc>
      </w:tr>
      <w:tr w:rsidR="00B00055" w:rsidRPr="00AB0E9D" w:rsidTr="00964F92">
        <w:trPr>
          <w:trHeight w:val="244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9.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r w:rsidRPr="00AB0E9D">
              <w:t>Организация уличного освещения в деревнях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pPr>
              <w:rPr>
                <w:rFonts w:eastAsia="Calibri"/>
              </w:rPr>
            </w:pPr>
            <w:r w:rsidRPr="00AB0E9D">
              <w:rPr>
                <w:rFonts w:eastAsia="Calibri"/>
              </w:rPr>
              <w:t>- снижение степени удовлетворенности населения уровнем благоустройства;</w:t>
            </w:r>
          </w:p>
          <w:p w:rsidR="00B00055" w:rsidRPr="00AB0E9D" w:rsidRDefault="00B00055" w:rsidP="00964F92">
            <w:r w:rsidRPr="00AB0E9D">
              <w:rPr>
                <w:rFonts w:eastAsia="Calibri"/>
              </w:rPr>
              <w:t>- наличие угрозы здоровью жителей и повышение аварийности на автомобильных дорогах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r w:rsidRPr="00AB0E9D">
              <w:rPr>
                <w:rFonts w:eastAsia="Calibri"/>
              </w:rPr>
              <w:t>Доля работающих светильников уличного освещения (ежегодно не менее 90% по отношению к общему количеству светильников)</w:t>
            </w:r>
          </w:p>
        </w:tc>
      </w:tr>
      <w:tr w:rsidR="00B00055" w:rsidRPr="00AB0E9D" w:rsidTr="00964F92">
        <w:trPr>
          <w:trHeight w:val="244"/>
        </w:trPr>
        <w:tc>
          <w:tcPr>
            <w:tcW w:w="14992" w:type="dxa"/>
            <w:gridSpan w:val="7"/>
            <w:shd w:val="clear" w:color="auto" w:fill="auto"/>
          </w:tcPr>
          <w:p w:rsidR="00B00055" w:rsidRPr="00AB0E9D" w:rsidRDefault="00B00055" w:rsidP="00964F92">
            <w:r w:rsidRPr="00AB0E9D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AB0E9D">
              <w:rPr>
                <w:sz w:val="24"/>
                <w:szCs w:val="24"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AB0E9D">
              <w:rPr>
                <w:sz w:val="24"/>
                <w:szCs w:val="24"/>
              </w:rPr>
              <w:t>Пчевское</w:t>
            </w:r>
            <w:proofErr w:type="spellEnd"/>
            <w:r w:rsidRPr="00AB0E9D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AB0E9D">
              <w:rPr>
                <w:sz w:val="24"/>
                <w:szCs w:val="24"/>
              </w:rPr>
              <w:t>Киришского</w:t>
            </w:r>
            <w:proofErr w:type="spellEnd"/>
            <w:r w:rsidRPr="00AB0E9D"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B00055" w:rsidRPr="00AB0E9D" w:rsidTr="00964F92">
        <w:trPr>
          <w:trHeight w:val="244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pPr>
              <w:rPr>
                <w:highlight w:val="yellow"/>
              </w:rPr>
            </w:pPr>
            <w:r w:rsidRPr="00AB0E9D">
              <w:t>Ремонт автомобильных дорог административного центра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  <w:highlight w:val="yellow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Pr="00AB0E9D" w:rsidRDefault="00B00055" w:rsidP="00964F92">
            <w:r w:rsidRPr="00AB0E9D">
              <w:t>неисполнение норм действующего законодательства. Снижение качества предоставляемых услуг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r w:rsidRPr="00AB0E9D">
              <w:t>Доля отремонтированных дорог общего пользования к концу 2017 года составит не менее 4% к общей протяженности дорог общего пользования местного значения</w:t>
            </w:r>
          </w:p>
        </w:tc>
      </w:tr>
      <w:tr w:rsidR="00B00055" w:rsidRPr="00AB0E9D" w:rsidTr="00964F92">
        <w:trPr>
          <w:trHeight w:val="244"/>
        </w:trPr>
        <w:tc>
          <w:tcPr>
            <w:tcW w:w="486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B0E9D">
              <w:rPr>
                <w:rFonts w:eastAsia="Calibri"/>
              </w:rPr>
              <w:t>.</w:t>
            </w:r>
          </w:p>
        </w:tc>
        <w:tc>
          <w:tcPr>
            <w:tcW w:w="2174" w:type="dxa"/>
            <w:shd w:val="clear" w:color="auto" w:fill="auto"/>
          </w:tcPr>
          <w:p w:rsidR="00B00055" w:rsidRPr="00AB0E9D" w:rsidRDefault="00B00055" w:rsidP="00964F92">
            <w:pPr>
              <w:rPr>
                <w:highlight w:val="yellow"/>
              </w:rPr>
            </w:pPr>
            <w:r>
              <w:t>Благоустройство административного центра</w:t>
            </w:r>
          </w:p>
        </w:tc>
        <w:tc>
          <w:tcPr>
            <w:tcW w:w="2128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  <w:highlight w:val="yellow"/>
              </w:rPr>
            </w:pPr>
            <w:r w:rsidRPr="00AB0E9D">
              <w:rPr>
                <w:rFonts w:eastAsia="Calibri"/>
              </w:rPr>
              <w:t xml:space="preserve">Администрация </w:t>
            </w:r>
            <w:proofErr w:type="spellStart"/>
            <w:r w:rsidRPr="00AB0E9D">
              <w:rPr>
                <w:rFonts w:eastAsia="Calibri"/>
              </w:rPr>
              <w:t>Пчевского</w:t>
            </w:r>
            <w:proofErr w:type="spellEnd"/>
            <w:r w:rsidRPr="00AB0E9D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B00055" w:rsidRPr="00AB0E9D" w:rsidRDefault="00B00055" w:rsidP="00964F92">
            <w:pPr>
              <w:jc w:val="center"/>
              <w:rPr>
                <w:rFonts w:eastAsia="Calibri"/>
              </w:rPr>
            </w:pPr>
            <w:r w:rsidRPr="00AB0E9D"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B00055" w:rsidRDefault="00B00055" w:rsidP="00964F92">
            <w:pPr>
              <w:rPr>
                <w:rFonts w:eastAsia="Calibri"/>
              </w:rPr>
            </w:pPr>
            <w:r>
              <w:t>-</w:t>
            </w:r>
            <w:r w:rsidRPr="00AB0E9D">
              <w:rPr>
                <w:rFonts w:eastAsia="Calibri"/>
              </w:rPr>
              <w:t xml:space="preserve"> снижение степени удовлетворенности населения уровнем благоустройства;</w:t>
            </w:r>
          </w:p>
          <w:p w:rsidR="00B00055" w:rsidRPr="00AB0E9D" w:rsidRDefault="00B00055" w:rsidP="00964F92">
            <w:r>
              <w:rPr>
                <w:rFonts w:eastAsia="Calibri"/>
              </w:rPr>
              <w:t>-снижение уровня эстетики поселения.</w:t>
            </w:r>
          </w:p>
        </w:tc>
        <w:tc>
          <w:tcPr>
            <w:tcW w:w="3904" w:type="dxa"/>
            <w:shd w:val="clear" w:color="auto" w:fill="auto"/>
          </w:tcPr>
          <w:p w:rsidR="00B00055" w:rsidRPr="00AB0E9D" w:rsidRDefault="00B00055" w:rsidP="00964F92">
            <w:r>
              <w:t xml:space="preserve">Доля </w:t>
            </w:r>
            <w:r w:rsidRPr="00DC16BF">
              <w:t xml:space="preserve"> благоустроенных территорий, соответствующих требованиям и нормам действующего законодательства</w:t>
            </w:r>
            <w:r>
              <w:t>.</w:t>
            </w:r>
          </w:p>
        </w:tc>
      </w:tr>
    </w:tbl>
    <w:p w:rsidR="00B00055" w:rsidRPr="00AB0E9D" w:rsidRDefault="00B00055" w:rsidP="00B00055">
      <w:pPr>
        <w:rPr>
          <w:sz w:val="16"/>
          <w:szCs w:val="16"/>
        </w:rPr>
      </w:pPr>
    </w:p>
    <w:p w:rsidR="00B00055" w:rsidRDefault="00B00055" w:rsidP="00B00055">
      <w:pPr>
        <w:ind w:left="1068"/>
      </w:pPr>
    </w:p>
    <w:p w:rsidR="0061054B" w:rsidRDefault="0061054B"/>
    <w:sectPr w:rsidR="0061054B" w:rsidSect="00B000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055"/>
    <w:rsid w:val="0061054B"/>
    <w:rsid w:val="00B00055"/>
    <w:rsid w:val="00B33EED"/>
    <w:rsid w:val="00BA0B86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gQt//W/JF8NSt8fGxFJ5Ea4bU6PzeMmCvk9TPZTf0Gc=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uBnmtuhw+Hfr3RVBpFXkAMHMeZEjQkOddi0hdnmS9mcWFCqBb93IVamQc3rSmcmjUzrbFyh4
    gww/EEOJV4wnUA==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tEuX8nL/3oaVSnY//enatkPZT/c=</DigestValue>
      </Reference>
      <Reference URI="/word/fontTable.xml?ContentType=application/vnd.openxmlformats-officedocument.wordprocessingml.fontTable+xml">
        <DigestMethod Algorithm="http://www.w3.org/2000/09/xmldsig#sha1"/>
        <DigestValue>WPFT4wCXoA1p+bH76cCsLFpa0nY=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9J5dx6Ye+r6lfuOAOny0bkuZxmA=</DigestValue>
      </Reference>
      <Reference URI="/word/styles.xml?ContentType=application/vnd.openxmlformats-officedocument.wordprocessingml.styles+xml">
        <DigestMethod Algorithm="http://www.w3.org/2000/09/xmldsig#sha1"/>
        <DigestValue>4/gojURYocNUFokxZGNGIhBLmog=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2017-12-28T08:17:44Z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2058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2017-12-27T10:46:00Z</dcterms:created>
  <dcterms:modified xsi:type="dcterms:W3CDTF">2017-12-27T10:47:00Z</dcterms:modified>
</cp:coreProperties>
</file>