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D" w:rsidRDefault="00DE70FD" w:rsidP="00DE70FD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0FD" w:rsidRDefault="00DE70FD" w:rsidP="00DE70FD">
      <w:pPr>
        <w:rPr>
          <w:b/>
        </w:rPr>
      </w:pPr>
    </w:p>
    <w:p w:rsidR="00DE70FD" w:rsidRDefault="00DE70FD" w:rsidP="00DE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DE70FD" w:rsidRDefault="00DE70FD" w:rsidP="00DE70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DE70FD" w:rsidRDefault="00DE70FD" w:rsidP="00DE70FD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DE70FD" w:rsidRDefault="00DE70FD" w:rsidP="00DE70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мая 2016 года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№ 52 </w:t>
      </w:r>
    </w:p>
    <w:p w:rsidR="00DE70FD" w:rsidRDefault="00DE70FD" w:rsidP="00DE70F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DE70FD" w:rsidRDefault="00DE70FD" w:rsidP="00DE70FD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DE70FD" w:rsidTr="00DE70FD">
        <w:trPr>
          <w:trHeight w:val="338"/>
        </w:trPr>
        <w:tc>
          <w:tcPr>
            <w:tcW w:w="5819" w:type="dxa"/>
            <w:hideMark/>
          </w:tcPr>
          <w:p w:rsidR="00DE70FD" w:rsidRDefault="00DE7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 от 29.10.2014 № 97</w:t>
            </w:r>
          </w:p>
        </w:tc>
      </w:tr>
    </w:tbl>
    <w:p w:rsidR="00DE70FD" w:rsidRDefault="00DE70FD" w:rsidP="00DE70FD"/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DE70FD" w:rsidRDefault="00DE70FD" w:rsidP="00DE70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муниципальную программу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29.10.2014 № 97 следующие изменения:</w:t>
      </w:r>
    </w:p>
    <w:p w:rsidR="00DE70FD" w:rsidRDefault="00DE70FD" w:rsidP="00DE7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«Финансовое обеспечение муниципальной программы, в т. ч. по источникам финансирования»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DE70FD" w:rsidTr="00DE70FD">
        <w:trPr>
          <w:trHeight w:val="40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муниципальной программы, </w:t>
            </w:r>
          </w:p>
          <w:p w:rsidR="00DE70FD" w:rsidRDefault="00DE70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 ч. по источникам финансирования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Объем финансовых средств, предусмотренных на реализацию программы  в 2015-2018гг. составляет: 7287,63 тыс. рублей, в том числе:</w:t>
            </w:r>
          </w:p>
          <w:p w:rsidR="00DE70FD" w:rsidRDefault="00DE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федеральный бюджет – 0 тыс. рублей;</w:t>
            </w:r>
          </w:p>
          <w:p w:rsidR="00DE70FD" w:rsidRDefault="00DE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областного бюджета – 0 тыс. рублей; </w:t>
            </w:r>
          </w:p>
          <w:p w:rsidR="00DE70FD" w:rsidRDefault="00DE7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Пчевское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 – 7287,63 тыс. рублей;</w:t>
            </w:r>
          </w:p>
          <w:p w:rsidR="00DE70FD" w:rsidRDefault="00DE70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источники – 0 тыс. рублей.</w:t>
            </w:r>
          </w:p>
        </w:tc>
      </w:tr>
    </w:tbl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Раздел 4 Программы изложить в следующей редакции: «Общий объем финансирования Муниципальной программы за период 2015-2018 гг. составит в ценах соответствующих лет – 7287,63 тыс. рублей, в том числе по годам: 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2015 год – 2444,93 тыс. рублей;</w:t>
      </w:r>
      <w:proofErr w:type="gramEnd"/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 год – 2090,04 тыс. рублей;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1584,60 тыс. рублей;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1168,06 тыс. рублей». </w:t>
      </w:r>
    </w:p>
    <w:p w:rsidR="00DE70FD" w:rsidRDefault="00DE70FD" w:rsidP="00DE70F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6 «План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к Программе изложить в редакции согласно Приложению 1 к настоящему постановлению.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Д.Н. Левашов</w:t>
      </w:r>
    </w:p>
    <w:p w:rsidR="00DE70FD" w:rsidRDefault="00DE70FD" w:rsidP="00DE70FD">
      <w:pPr>
        <w:ind w:firstLine="708"/>
        <w:jc w:val="both"/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/>
    <w:p w:rsidR="00DE70FD" w:rsidRDefault="00DE70FD" w:rsidP="00DE70FD">
      <w:pPr>
        <w:rPr>
          <w:sz w:val="28"/>
          <w:szCs w:val="28"/>
        </w:rPr>
      </w:pPr>
    </w:p>
    <w:p w:rsidR="00DE70FD" w:rsidRDefault="00DE70FD" w:rsidP="00DE70FD"/>
    <w:p w:rsidR="00DE70FD" w:rsidRDefault="00DE70FD" w:rsidP="00DE70FD"/>
    <w:p w:rsidR="00DE70FD" w:rsidRDefault="00DE70FD" w:rsidP="00DE70FD"/>
    <w:p w:rsidR="00DE70FD" w:rsidRDefault="00DE70FD" w:rsidP="00DE70FD"/>
    <w:p w:rsidR="00DE70FD" w:rsidRDefault="00DE70FD" w:rsidP="00DE70FD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КСП,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DE70FD" w:rsidRDefault="00DE70FD" w:rsidP="00DE70FD">
      <w:pPr>
        <w:sectPr w:rsidR="00DE70FD">
          <w:pgSz w:w="11906" w:h="16838"/>
          <w:pgMar w:top="1134" w:right="567" w:bottom="1134" w:left="1418" w:header="709" w:footer="709" w:gutter="0"/>
          <w:cols w:space="720"/>
        </w:sectPr>
      </w:pPr>
    </w:p>
    <w:p w:rsidR="00DE70FD" w:rsidRDefault="00DE70FD" w:rsidP="00DE70FD"/>
    <w:p w:rsidR="00DE70FD" w:rsidRDefault="00DE70FD" w:rsidP="00DE70F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DE70FD" w:rsidRDefault="00DE70FD" w:rsidP="00DE70F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постановлению от 12 мая  2016 года № 52    </w:t>
      </w: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rPr>
          <w:sz w:val="16"/>
          <w:szCs w:val="16"/>
        </w:rPr>
      </w:pPr>
    </w:p>
    <w:p w:rsidR="00DE70FD" w:rsidRDefault="00DE70FD" w:rsidP="00DE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муниципальной программы</w:t>
      </w:r>
    </w:p>
    <w:p w:rsidR="00DE70FD" w:rsidRDefault="00DE70FD" w:rsidP="00DE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«Обеспечение качественным жильем граждан на территории муниципального образования</w:t>
      </w:r>
    </w:p>
    <w:p w:rsidR="00DE70FD" w:rsidRDefault="00DE70FD" w:rsidP="00DE70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Пчевское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  <w:proofErr w:type="spellStart"/>
      <w:r>
        <w:rPr>
          <w:b/>
          <w:sz w:val="24"/>
          <w:szCs w:val="24"/>
        </w:rPr>
        <w:t>Киришского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области»</w:t>
      </w:r>
    </w:p>
    <w:p w:rsidR="00DE70FD" w:rsidRDefault="00DE70FD" w:rsidP="00DE70F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246"/>
        <w:gridCol w:w="1700"/>
        <w:gridCol w:w="1231"/>
        <w:gridCol w:w="1190"/>
        <w:gridCol w:w="1190"/>
        <w:gridCol w:w="1176"/>
        <w:gridCol w:w="1372"/>
        <w:gridCol w:w="1530"/>
        <w:gridCol w:w="1438"/>
        <w:gridCol w:w="1226"/>
      </w:tblGrid>
      <w:tr w:rsidR="00DE70FD" w:rsidTr="00DE70F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Годы реализации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Планируемые объемы финансирования</w:t>
            </w:r>
          </w:p>
          <w:p w:rsidR="00DE70FD" w:rsidRDefault="00DE70FD">
            <w:pPr>
              <w:jc w:val="center"/>
            </w:pPr>
            <w:r>
              <w:t>(тыс. рублей в ценах соответствующих лет)</w:t>
            </w:r>
          </w:p>
        </w:tc>
      </w:tr>
      <w:tr w:rsidR="00DE70FD" w:rsidTr="00DE70FD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Конец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всего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в том числе</w:t>
            </w:r>
          </w:p>
        </w:tc>
      </w:tr>
      <w:tr w:rsidR="00DE70FD" w:rsidTr="00DE70F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Областной бюджет Ленинградской области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 xml:space="preserve">бюджет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прочие источники</w:t>
            </w:r>
          </w:p>
        </w:tc>
      </w:tr>
      <w:tr w:rsidR="00DE70FD" w:rsidTr="00DE70FD">
        <w:trPr>
          <w:trHeight w:val="2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11</w:t>
            </w:r>
          </w:p>
        </w:tc>
      </w:tr>
      <w:tr w:rsidR="00DE70FD" w:rsidTr="00DE70FD">
        <w:trPr>
          <w:trHeight w:val="22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jc w:val="both"/>
            </w:pPr>
          </w:p>
        </w:tc>
        <w:tc>
          <w:tcPr>
            <w:tcW w:w="4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программа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b/>
              </w:rPr>
              <w:t>Пчевское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Киришского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области»</w:t>
            </w:r>
          </w:p>
          <w:p w:rsidR="00DE70FD" w:rsidRDefault="00DE70FD">
            <w:pPr>
              <w:jc w:val="both"/>
              <w:rPr>
                <w:b/>
              </w:rPr>
            </w:pPr>
          </w:p>
          <w:p w:rsidR="00DE70FD" w:rsidRDefault="00DE70FD">
            <w:pPr>
              <w:rPr>
                <w:b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2444,93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2444,93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2090,04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2090,04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1584,60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1584,60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1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1168,06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1168,06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  <w:p w:rsidR="00DE70FD" w:rsidRDefault="00DE70FD">
            <w:pPr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7287,63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7287,63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0FD" w:rsidTr="00DE70F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both"/>
            </w:pPr>
            <w:r>
              <w:t>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r>
              <w:rPr>
                <w:rFonts w:eastAsia="Calibri"/>
              </w:rPr>
              <w:t>Обеспечение надлежащей эксплуатации жилищного фонда многоквартирных домов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jc w:val="center"/>
            </w:pPr>
            <w:r>
              <w:t>2018</w:t>
            </w:r>
          </w:p>
          <w:p w:rsidR="00DE70FD" w:rsidRDefault="00DE70FD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1964,16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1964,16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1639,08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1639,08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1212,94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1212,94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796,40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796,40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DE70FD" w:rsidRDefault="00DE70FD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5612,58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t>0,00</w:t>
            </w:r>
          </w:p>
        </w:tc>
      </w:tr>
      <w:tr w:rsidR="00DE70FD" w:rsidTr="00DE70F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both"/>
            </w:pPr>
            <w:r>
              <w:t>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r>
              <w:t xml:space="preserve">Обеспечение </w:t>
            </w:r>
            <w:r>
              <w:lastRenderedPageBreak/>
              <w:t>реализации функций в сфере управления муниципальным жилищным фондом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lastRenderedPageBreak/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99,22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99,22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69,42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69,42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86,04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86,04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rPr>
                <w:b/>
              </w:rPr>
            </w:pPr>
            <w:r>
              <w:rPr>
                <w:b/>
              </w:rPr>
              <w:t>Итого:</w:t>
            </w:r>
          </w:p>
          <w:p w:rsidR="00DE70FD" w:rsidRDefault="00DE70FD">
            <w:pPr>
              <w:jc w:val="center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340,72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340,72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0FD" w:rsidTr="00DE70FD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both"/>
            </w:pPr>
            <w:r>
              <w:t>3.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r>
              <w:rPr>
                <w:rFonts w:eastAsia="Calibri"/>
              </w:rPr>
              <w:t>Обеспечение капитального ремонта общего имущества многоквартирных домов за счет взносов собственника муниципального жилого фонда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 xml:space="preserve">Администрация </w:t>
            </w:r>
            <w:proofErr w:type="spellStart"/>
            <w:r>
              <w:t>Пчевского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381,55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381,55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381,54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381,54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285,62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285,62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</w:pPr>
            <w:r>
              <w:t>0,00</w:t>
            </w:r>
          </w:p>
        </w:tc>
      </w:tr>
      <w:tr w:rsidR="00DE70FD" w:rsidTr="00DE7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FD" w:rsidRDefault="00DE70FD"/>
        </w:tc>
        <w:tc>
          <w:tcPr>
            <w:tcW w:w="7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DE70FD" w:rsidRDefault="00DE70FD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</w:pPr>
            <w: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t>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right"/>
              <w:rPr>
                <w:b/>
              </w:rPr>
            </w:pPr>
            <w:r>
              <w:rPr>
                <w:b/>
              </w:rPr>
              <w:t>1334,33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FD" w:rsidRDefault="00DE70FD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</w:tbl>
    <w:p w:rsidR="00DE70FD" w:rsidRDefault="00DE70FD" w:rsidP="00DE70FD">
      <w:pPr>
        <w:tabs>
          <w:tab w:val="left" w:pos="1455"/>
        </w:tabs>
        <w:rPr>
          <w:sz w:val="16"/>
          <w:szCs w:val="16"/>
        </w:rPr>
      </w:pPr>
    </w:p>
    <w:p w:rsidR="005705FE" w:rsidRDefault="005705FE"/>
    <w:sectPr w:rsidR="005705FE" w:rsidSect="00DE7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0FD"/>
    <w:rsid w:val="005705FE"/>
    <w:rsid w:val="00D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70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DE70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0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HusHLjtJ2wjb8QhW1fOhAhcLNMgKjPo8C3zshyhkE1Q=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8eEUUnNRi+LXfd3Pc9R12z9b357O7uwAghZwc81ShMptI4t7TBstc4R/D6s3oHj5scjv/iI6
    76npSyvMjBIs3A==
  </SignatureValue>
  <KeyInfo>
    <X509Data>
      <X509Certificate>
          MIIHuzCCB2qgAwIBAgIKYUDboAAEAAADhTAIBgYqhQMCAgMwgfgxGDAWBgUqhQNkARINMTEy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0KMg0JvQniAi0J7QrdCfIjAeFw0xNjA1MTYwNzQ3MDBaFw0xNzA1MTYwNzU3MDBaMIICLzEW
          MBQGBSqFA2QDEgswNzU1Nzg4MzcyMzEYMBYGBSqFA2QBEg0xMDU0NzAxMzgwMjA1MRowGAYI
          KoUDA4EDAQESDDAwNDcwODAxODA3MzEcMBoGCSqGSIb3DQEJARYNNzIyODZAbGlzdC5ydTEL
          MAkGA1UEBhMCUlUxOTA3BgNVBAgeMAA0ADcAIAQbBDUEPQQ4BD0EMwRABDAENARBBDoEMARP
          ACAEPgQxBDsEMARBBEIETDEXMBUGA1UEBx4OBDQALgQfBEcENQQyBDAxWzBZBgNVBAoeUgQQ
          BDQEPAQ4BD0EOARBBEIEQAQwBEYEOARPACAEHwRHBDUEMgRBBDoEPgQ1ACAEQQQ1BDsETARB
          BDoEPgQ1ACAEPwQ+BEEENQQ7BDUEPQQ4BDUxWzBZBgNVBAMeUgQQBDQEPAQ4BD0EOARBBEIE
          QAQwBEYEOARPACAEHwRHBDUEMgRBBDoEPgQ1ACAEQQQ1BDsETARBBDoEPgQ1ACAEPwQ+BEEE
          NQQ7BDUEPQQ4BDUxLTArBgNVBAkeJARDBDsALgQhBD4EMgQ1BEIEQQQ6BDAETwAsACAENAAu
          ADEAMjEvMC0GA1UEDB4mBBMEOwQwBDIEMAAgBDAENAQ8BDgEPQQ4BEEEQgRABDAERgQ4BDgx
          LTArBgNVBCoeJAQUBDwEOARCBEAEOAQ5ACAEHQQ4BDoEPgQ7BDAENQQyBDgERzEXMBUGA1UE
          BB4OBBsENQQyBDAESAQ+BDIwYzAcBgYqhQMCAhMwEgYHKoUDAgIkAAYHKoUDAgIeAQNDAARA
          VRPOMPs6WvHOD7k6gJry/yDIoFL3/I9TT56FdjGFJ5jooQ4vZgeiDDnAoPuts1eSJohjxfZj
          +PiLR/nXwgsAF6OCA5gwggOUMA4GA1UdDwEB/wQEAwIE8DAdBgNVHSUEFjAUBggrBgEFBQcD
          BAYIKwYBBQUHAwIwHQYDVR0OBBYEFP9yEFLhjNfSbIR6CLwuSyUK9I+lMIIBNgYDVR0jBIIB
          LTCCASmAFAZP89L2XInyW8zWZGDQoVZnpK9qoYH+pIH7MIH4MRgwFgYFKoUDZAESDTExMjQ3
          MDMwMDAzMzMxGjAYBggqhQMDgQMBARIMMDA0NzAzMTI1OTU2MRwwGgYJKoZIhvcNAQkBFg11
          ZGNAbGVucmVnLnJ1MRswGQYDVQQKDBLQk9Ca0KMg0JvQniDQntCt0J8xJjAkBgNVBAcMHdCh
          0LDQvdC60YIt0J/QtdGC0LXRgNCx0YPRgNCzMSwwKgYDVQQIDCM3OCDQsy7QodCw0L3QutGC
          LdCf0LXRgtC10YDQsdGD0YDQszELMAkGA1UEBhMCUlUxIjAgBgNVBAMMGdCj0KYg0JPQmtCj
          INCb0J4gItCe0K3QnyKCEEFyfIue8S+sQmtOcHLchrgwVgYDVR0fBE8wTTAloCOgIYYfaHR0
          cDovL2NhLmxlbm9ibC5ydS9lLWdvdi00LmNybDAkoCKgIIYeaHR0cDovL3VjbG8uc3BiLnJ1
          L2UtZ292LTQuY3JsMGcGCCsGAQUFBwEBBFswWTArBggrBgEFBQcwAoYfaHR0cDovL2NhLmxl
          bm9ibC5ydS9lLWdvdi00LmNlcjAqBggrBgEFBQcwAoYeaHR0cDovL3VjbG8uc3BiLnJ1L2Ut
          Z292LTQuY2VyMCsGA1UdEAQkMCKADzIwMTYwNTE2MDc0NzAwWoEPMjAxNzA1MTYwNzQ3MDBa
          MBMGA1UdIAQMMAowCAYGKoUDZHEBMDQGBSqFA2RvBCsMKdCa0YDQuNC/0YLQvtCf0YDQviBD
          U1AgKNCy0LXRgNGB0LjRjyAzLjYpMIHQBgUqhQNkcASBxjCBwwwrItCa0YDQuNC/0YLQvtCf
          0YDQviBDU1AiICjQstC10YDRgdC40Y8gMy42KQxWItCj0LTQvtGB0YLQvtCy0LXRgNGP0Y7R
          idC40Lkg0YbQtdC90YLRgCAi0JrRgNC40L/RgtC+0J/RgNC+INCj0KYiINCy0LXRgNGB0LjQ
          uCAxLjUgUjIMHdCh0KQvMTI0LTI3Mzgg0L7RgiAwMS4wNy4yMDE1DB3QodCkLzEyOC0yNzY4
          INC+0YIgMzEuMTIuMjAxNTAIBgYqhQMCAgMDQQDxvABHCQli9w8vaRnfC17DBnQTZ2svV6j0
          t+5n4cwPX7rsB3kuCwAy2JJFw11LExaprU+l4pjBNfbbLzHdCsQq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/Xj1U9gU/84z+NQez/4eA9zks10=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settings.xml?ContentType=application/vnd.openxmlformats-officedocument.wordprocessingml.settings+xml">
        <DigestMethod Algorithm="http://www.w3.org/2000/09/xmldsig#sha1"/>
        <DigestValue>OYUDdGPZtmIhGX0hI6XJ8SVVCvc=</DigestValue>
      </Reference>
      <Reference URI="/word/styles.xml?ContentType=application/vnd.openxmlformats-officedocument.wordprocessingml.styles+xml">
        <DigestMethod Algorithm="http://www.w3.org/2000/09/xmldsig#sha1"/>
        <DigestValue>FHo2rMUyGWfDZngWS7s0xOawm0o=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DxpxB9vtDowD9NZqohsAexUr55s=</DigestValue>
      </Reference>
    </Manifest>
    <SignatureProperties>
      <SignatureProperty Id="idSignatureTime" Target="#idPackageSignature">
        <mdssi:SignatureTime>
          <mdssi:Format>YYYY-MM-DDThh:mm:ssTZD</mdssi:Format>
          <mdssi:Value>2016-05-17T11:40:11Z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2016-05-12T13:06:00Z</dcterms:created>
  <dcterms:modified xsi:type="dcterms:W3CDTF">2016-05-12T13:06:00Z</dcterms:modified>
</cp:coreProperties>
</file>