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0" w:rsidRDefault="00325410" w:rsidP="00325410">
      <w:pPr>
        <w:pStyle w:val="consplustitle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ЛЕНИНГРАДСКАЯ ОБЛАСТЬ</w:t>
      </w:r>
    </w:p>
    <w:p w:rsidR="00325410" w:rsidRDefault="00325410" w:rsidP="00325410">
      <w:pPr>
        <w:pStyle w:val="consplustitle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325410" w:rsidRDefault="00325410" w:rsidP="00325410">
      <w:pPr>
        <w:pStyle w:val="consplustitle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ОБЛАСТНОЙ ЗАКОН</w:t>
      </w:r>
    </w:p>
    <w:p w:rsidR="00325410" w:rsidRDefault="00325410" w:rsidP="00325410">
      <w:pPr>
        <w:pStyle w:val="consplustitle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 </w:t>
      </w:r>
    </w:p>
    <w:p w:rsidR="00325410" w:rsidRDefault="00325410" w:rsidP="00325410">
      <w:pPr>
        <w:pStyle w:val="consplustitle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О ПРОТИВОДЕЙСТВИИ КОРРУПЦИИ В ЛЕНИНГРАДСКОЙ ОБЛАСТИ</w:t>
      </w:r>
    </w:p>
    <w:p w:rsidR="00325410" w:rsidRDefault="00325410" w:rsidP="00325410">
      <w:pPr>
        <w:pStyle w:val="consplus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color w:val="000000"/>
        </w:rPr>
        <w:t>(Принят Законодательным собранием Ленинградской области</w:t>
      </w:r>
      <w:proofErr w:type="gramEnd"/>
    </w:p>
    <w:p w:rsidR="00325410" w:rsidRDefault="00325410" w:rsidP="00325410">
      <w:pPr>
        <w:pStyle w:val="consplus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color w:val="000000"/>
        </w:rPr>
        <w:t>31 мая 2011 года)</w:t>
      </w:r>
      <w:proofErr w:type="gramEnd"/>
    </w:p>
    <w:p w:rsidR="00325410" w:rsidRDefault="00325410" w:rsidP="00325410">
      <w:pPr>
        <w:pStyle w:val="consplus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(с изменениями, внесенными областными законами:</w:t>
      </w:r>
      <w:proofErr w:type="gramEnd"/>
    </w:p>
    <w:p w:rsidR="00325410" w:rsidRDefault="00325410" w:rsidP="00325410">
      <w:pPr>
        <w:pStyle w:val="consplusnormal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от 16.02.2015 </w:t>
      </w:r>
      <w:hyperlink r:id="rId4" w:history="1">
        <w:r>
          <w:rPr>
            <w:rStyle w:val="a3"/>
            <w:color w:val="auto"/>
            <w:u w:val="none"/>
          </w:rPr>
          <w:t>N 6-оз</w:t>
        </w:r>
      </w:hyperlink>
      <w:r>
        <w:rPr>
          <w:color w:val="000000"/>
        </w:rPr>
        <w:t>, от 12.11.2015 </w:t>
      </w:r>
      <w:hyperlink r:id="rId5" w:history="1">
        <w:r>
          <w:rPr>
            <w:rStyle w:val="a3"/>
            <w:color w:val="auto"/>
            <w:u w:val="none"/>
          </w:rPr>
          <w:t>N 103-оз</w:t>
        </w:r>
      </w:hyperlink>
      <w:r>
        <w:rPr>
          <w:color w:val="000000"/>
        </w:rPr>
        <w:t>)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Настоящим областным законом в соответствии с Федеральным 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color w:val="000000"/>
        </w:rPr>
        <w:t xml:space="preserve"> от 25 декабря 2008 года N 273-ФЗ "О противодействии коррупции" (далее - Федеральный закон) устанавливаются организационные основы предупреждения коррупции в Ленинградской области и борьбы с ней, минимизации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или) ликвидации последствий коррупционных правонарушений.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1. Основные понятия, термины и сокращения, используемые в настоящем областном законе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1. Для целей настоящего областного закона используются следующие понятия, термины и сокращения: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color w:val="000000"/>
        </w:rPr>
        <w:t>антикоррупционный</w:t>
      </w:r>
      <w:proofErr w:type="spellEnd"/>
      <w:r>
        <w:rPr>
          <w:color w:val="000000"/>
        </w:rPr>
        <w:t xml:space="preserve"> мониторинг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по наблюдению, выявлению, анализу, оценке и прогнозу коррупции,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факторов, а также реализации мер по противодействию коррупции и повышению ее эффективности;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Ленинградской области и их проектов (далее -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экспертиза) -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целях выявления, описания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и разработки рекомендаций по их устранению;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план (программа) противодействия коррупции -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 в Ленинградской области;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выявлению, изучению и устранению причин и условий, способствующих проявлениям коррупции в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Иные понятия, термины и сокращения, используемые в настоящем областном законе, применяются в значениях, определяемых федеральным законодательством в регулируемой сфере правовых отношений.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2. Организационные основы противодействия коррупции в Ленинградской области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1. Законодательное собрание Ленинградской области: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1) принимает законы Ленинградской области и иные нормативные правовые акты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2) осуществляет в пределах своих полномочий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и исполнением законов Ленинградской области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Губернатор Ленинградской области: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1) принимает нормативные правовые акты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2) организует исполнение законов Ленинградской области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3) обеспечивает координацию деятельности органов исполнительной власти Ленинградской области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4) принимает решение о создании постоянно действующего координационного органа при Губернаторе Ленинградской области - комиссии по координации работы по противодействию коррупции в Ленинградской области, утверждает положение о данной комиссии, а также ее персональный состав;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5) устанавливает компетенцию органов исполнительной власти Ленинградской области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6)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3. Правительство Ленинградской области: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1) принимает нормативные правовые акты в сфере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2)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3) обеспечивает реализацию в пределах своих полномочий мер по профилактике коррупции в Ленинградской области;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4) осуществляет иные полномочия в соответствии с федеральным законодательством и законодательством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4. Органы исполнительной власти Ленинградской области,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5. Деятельность органов государственной власти Ленинградской области,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Федерации, органами местного самоуправления, гражданами, институтами гражданского общества.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6.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законодательством, законодательством Ленинградской области и муниципальными правовыми актами.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3. Комиссия по координации работы по противодействию коррупции в Ленинградской области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2. Обеспечение деятельности Комиссии, подготовку материалов к заседаниям Комиссии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принятых ею решений осуществляет орган исполнительной власти Ленинградской области по профилактике коррупционных и иных правонарушений.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3. В органах государственной власти Ленинградской области, иных государственных органах Ленинградской области, органах местного самоуправления Ленинградской области по решению их руководителей могут создаваться совещательные органы, осуществляющие деятельность в области противодействия коррупции, из числа представителей указанных органов.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деятельности указанных органов могут принимать участие представители общественных объединений (организаций), научных, образовательных и иных организаций и лица, специализирующиеся на изучении проблем коррупции.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4. Реализация мер по профилактике коррупции в Ленинградской области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1) разрабатывают и реализуют планы (программы)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2) обеспечивают исполнение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совершенствуют порядок ее прохождения;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3) организуют осуществление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мониторинга;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4) организуют проведение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актов Ленинградской области и их проектов;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5) обеспечивают доступ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в сфере противодействия коррупции в Ленинградской области;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6)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инициатив, направленных на противодействие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отчитываются о реализации</w:t>
      </w:r>
      <w:proofErr w:type="gramEnd"/>
      <w:r>
        <w:rPr>
          <w:color w:val="000000"/>
        </w:rPr>
        <w:t xml:space="preserve"> мер по повышению эффективности противодействия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8) принимают иные меры по профилактике коррупции, не противоречащие федеральному и областному законодательствам.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5. Планы (программы) противодействия коррупции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1. Органы государственной власти Ленинградской области, иные государственные органы Ленинградской области в пределах своих полномочий принимают планы (программы) противодействия коррупции в соответствии с федеральным законодательством и настоящим областным законом.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представляют сведения о реализации ими планов (программ) противодействия коррупции в Комиссию.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3. Органы местного самоуправления Ленинградской области разрабатывают, утверждают и реализуют муниципальные планы (программы) противодействия коррупции.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6. Меры по обеспечению исполнения требований федерального законодательства к гражданам, претендующим на замещение должностей государственной гражданской службы Ленинградской области и муниципальной службы, и совершенствования порядка прохождения государственной гражданской службы Ленинградской области, муниципальной службы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целях повышения эффективности противодействия коррупции в Ленинградской области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обеспечивают: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color w:val="000000"/>
        </w:rPr>
        <w:t>1) предъявление в установленном законодательством Ленинградской области порядке квалификационных требований к гражданам, претендующим на замещение должностей государственной гражданской службы Ленинградской области, муниципальной службы, проведение проверок представленных ими сведений;</w:t>
      </w:r>
      <w:proofErr w:type="gramEnd"/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2) оптимизацию и конкретизацию полномочий лиц, замещающих должности государственной гражданской службы Ленинградской области, в должностных регламентах;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3) внедрение административных регламентов предоставления государственных и муниципальных услуг (функций), обеспечивающих межведомственное электронное взаимодействие, электронное взаимодействие с гражданами и организациями в рамках оказания государственных (муниципальных) услуг;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4) совершенствование работы кадровых служб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повышение ответственности должностных лиц за непринятие мер по устранению причин коррупции;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5) применение иных мер, предусмотренных федеральным законодательством и законодательством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Статья 7. </w:t>
      </w:r>
      <w:proofErr w:type="spellStart"/>
      <w:r>
        <w:rPr>
          <w:color w:val="000000"/>
        </w:rPr>
        <w:t>Антикоррупционный</w:t>
      </w:r>
      <w:proofErr w:type="spellEnd"/>
      <w:r>
        <w:rPr>
          <w:color w:val="000000"/>
        </w:rPr>
        <w:t xml:space="preserve"> мониторинг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Антикоррупционный</w:t>
      </w:r>
      <w:proofErr w:type="spellEnd"/>
      <w:r>
        <w:rPr>
          <w:color w:val="000000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и результативности мер противодействия коррупции.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2. Результаты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мониторинга являются основой для разработки проектов планов (</w:t>
      </w:r>
      <w:proofErr w:type="gramStart"/>
      <w:r>
        <w:rPr>
          <w:color w:val="000000"/>
        </w:rPr>
        <w:t xml:space="preserve">программ) </w:t>
      </w:r>
      <w:proofErr w:type="gramEnd"/>
      <w:r>
        <w:rPr>
          <w:color w:val="000000"/>
        </w:rPr>
        <w:t>противодействия коррупции, используются в правотворческой и правоприменительной деятельности.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3. Органы государственной власти Ленинградской области, иные государственные органы Ленинградской области осуществляют </w:t>
      </w:r>
      <w:proofErr w:type="spellStart"/>
      <w:r>
        <w:rPr>
          <w:color w:val="000000"/>
        </w:rPr>
        <w:t>антикоррупционный</w:t>
      </w:r>
      <w:proofErr w:type="spellEnd"/>
      <w:r>
        <w:rPr>
          <w:color w:val="000000"/>
        </w:rPr>
        <w:t xml:space="preserve"> мониторинг в пределах своих полномочий в сфере противодействия коррупции.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4. Органы местного самоуправления Ленинградской области осуществляют </w:t>
      </w:r>
      <w:proofErr w:type="spellStart"/>
      <w:r>
        <w:rPr>
          <w:color w:val="000000"/>
        </w:rPr>
        <w:t>антикоррупционный</w:t>
      </w:r>
      <w:proofErr w:type="spellEnd"/>
      <w:r>
        <w:rPr>
          <w:color w:val="000000"/>
        </w:rPr>
        <w:t xml:space="preserve"> мониторинг в пределах своих полномочий в порядке, установленном муниципальными правовыми актами.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Статья 8.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Ленинградской области и их проектов, муниципальных нормативных правовых актов и их проектов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экспертиза нормативных правовых актов Ленинградской области и их проектов, муниципальных нормативных правовых актов и их проектов проводится в целях выявления и устранения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2. Органы государственной власти Ленинградской области, органы местного самоуправления Ленинградской области проводят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экспертизу принятых ими нормативных правовых актов и их проектов,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оводить независимую </w:t>
      </w:r>
      <w:proofErr w:type="spellStart"/>
      <w:r>
        <w:rPr>
          <w:color w:val="000000"/>
        </w:rPr>
        <w:t>антикоррупционную</w:t>
      </w:r>
      <w:proofErr w:type="spellEnd"/>
      <w:r>
        <w:rPr>
          <w:color w:val="000000"/>
        </w:rPr>
        <w:t xml:space="preserve"> экспертизу нормативных правовых актов и их проектов.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3. Порядок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областных законов, иных нормативных правовых актов, принятых Законодательным собранием Ленинградской области, и их проектов устанавливается Законодательным собранием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Порядок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актов и их проектов, принятых Правительством Ленинградской области, Губернатором Ленинградской области, иными органами исполнительной власти Ленинградской области, устанавливается Правительством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Порядок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муниципальных нормативных правовых актов и их проектов, принятых органами местного самоуправления Ленинградской области, устанавливается органами местного самоуправления.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4. Нормативные правовые акты Ленинградской области и их проекты, муниципальные нормативные правовые акты и их проекты в установленных федеральным законодательством случаях предоставляются для проведения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в органы прокуратуры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Порядок и сроки предоставления нормативных правовых актов Ленинградской области и их проектов,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области, иными государственными органами Ленинградской области, органами местного самоуправления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9.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реализации мер по профилактике коррупции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1. 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 размещают на официальных сайтах в информационно-телекоммуникационной сети "Интернет" информацию о своей деятельности и о реализации мер по профилактике коррупции.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Обеспечение доступа граждан к информации о деятельности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осуществляется в соответствии с Федеральным 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10. Информация о реализации мер по повышению эффективности противодействия коррупции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1.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3. Порядок и сроки предоставления в представительные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или)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Статья 11. Развитие институтов общественного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законодательства о противодействии коррупции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Органы государственной власти Ленинградской области, иные государственные органы Ленинградской области, органы местного самоуправления Ленинградской области в пределах своих полномочий: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Ленинградской области;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создают условия для сообщения гражданами информации о злоупотреблениях должностным положением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Ленинградской области в информационно-телекоммуникационной сети "Интернет";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взаимодействуют с политическими партиями, другими общественными объединениями и иными институтами гражданского общества по вопросам противодействия коррупции.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Статья 12.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пропаганда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пропаганда представляет собой целенаправленную деятельность органов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пропаганда осуществляется через телевизионные и радиовещательные компании, средства массовой информации,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</w:t>
      </w:r>
      <w:proofErr w:type="spellStart"/>
      <w:r>
        <w:rPr>
          <w:color w:val="000000"/>
        </w:rPr>
        <w:t>антикоррупционные</w:t>
      </w:r>
      <w:proofErr w:type="spellEnd"/>
      <w:r>
        <w:rPr>
          <w:color w:val="000000"/>
        </w:rPr>
        <w:t xml:space="preserve"> материалы, а также в иных не запрещенных законодательством Российской Федерации формах.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13. Финансовое обеспечение мер по противодействию коррупции в Ленинградской области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1. Финансовое обеспечение мер по противодействию коррупции в Ленинградской области, реализуемых органами государственной власти Ленинградской области, осуществляется за счет средств областного бюджета Ленинградской области.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Финансовое обеспечение мер по противодействию коррупции в Ленинградской области, реализуемых органами местного самоуправления Ленинградской области в пределах своих полномочий, осуществляется за счет средств местных бюджетов.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Статья 14. Вступление в силу настоящего областного закона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1. Настоящий областной закон вступает в силу по истечении 10 дней со дня его официального опубликования.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Признать утратившим силу областной </w:t>
      </w:r>
      <w:hyperlink r:id="rId8" w:history="1">
        <w:r>
          <w:rPr>
            <w:rStyle w:val="a3"/>
            <w:color w:val="auto"/>
            <w:u w:val="none"/>
          </w:rPr>
          <w:t>закон</w:t>
        </w:r>
      </w:hyperlink>
      <w:r>
        <w:rPr>
          <w:color w:val="000000"/>
        </w:rPr>
        <w:t> от 8 февраля 2010 года N 1-оз "О противодействии коррупции в органах государственной власти Ленинградской области и органах местного самоуправления Ленинградской области" со дня вступления в силу настоящего областного закона.</w:t>
      </w:r>
    </w:p>
    <w:p w:rsidR="00325410" w:rsidRDefault="00325410" w:rsidP="00325410">
      <w:pPr>
        <w:pStyle w:val="consplusnormal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325410" w:rsidRDefault="00325410" w:rsidP="00325410">
      <w:pPr>
        <w:pStyle w:val="consplusnormal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Губернатор</w:t>
      </w:r>
    </w:p>
    <w:p w:rsidR="00325410" w:rsidRDefault="00325410" w:rsidP="00325410">
      <w:pPr>
        <w:pStyle w:val="consplusnormal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Ленинградской области</w:t>
      </w:r>
    </w:p>
    <w:p w:rsidR="00325410" w:rsidRDefault="00325410" w:rsidP="00325410">
      <w:pPr>
        <w:pStyle w:val="consplusnormal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В.Сердюков</w:t>
      </w:r>
    </w:p>
    <w:p w:rsidR="00325410" w:rsidRDefault="00325410" w:rsidP="00325410">
      <w:pPr>
        <w:pStyle w:val="consplus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Санкт-Петербург</w:t>
      </w:r>
    </w:p>
    <w:p w:rsidR="00325410" w:rsidRDefault="00325410" w:rsidP="00325410">
      <w:pPr>
        <w:pStyle w:val="consplus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17 июня 2011 года</w:t>
      </w:r>
    </w:p>
    <w:p w:rsidR="00325410" w:rsidRDefault="00325410" w:rsidP="00325410">
      <w:pPr>
        <w:pStyle w:val="consplus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N 44-оз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10"/>
    <w:rsid w:val="00325410"/>
    <w:rsid w:val="0061054B"/>
    <w:rsid w:val="009101EE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2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5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51A530B4C1B92888E132BB2831389936692CA3152F1F1113A9C82pDf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51A530B4C1B92888E0C3AA78313899B6A9EC63B5FACFB19639080DCp7f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51A530B4C1B92888E0C3AA783138998639ACA3550ACFB19639080DC7469C897C63A897AB4A489pCf9I" TargetMode="External"/><Relationship Id="rId5" Type="http://schemas.openxmlformats.org/officeDocument/2006/relationships/hyperlink" Target="consultantplus://offline/ref=37651A530B4C1B92888E132BB28313899B659CCF3550ACFB19639080DC7469C897C63A897AB4A488pCf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7651A530B4C1B92888E132BB28313899B669DCE315FACFB19639080DC7469C897C63A897AB4A488pCf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2868</Words>
  <Characters>16354</Characters>
  <Application>Microsoft Office Word</Application>
  <DocSecurity>0</DocSecurity>
  <Lines>136</Lines>
  <Paragraphs>38</Paragraphs>
  <ScaleCrop>false</ScaleCrop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2019-02-28T07:01:00Z</dcterms:created>
  <dcterms:modified xsi:type="dcterms:W3CDTF">2019-02-28T07:01:00Z</dcterms:modified>
</cp:coreProperties>
</file>