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8" w:rsidRDefault="009D5208" w:rsidP="009D5208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208" w:rsidRDefault="009D5208" w:rsidP="009D5208">
      <w:pPr>
        <w:rPr>
          <w:b/>
        </w:rPr>
      </w:pPr>
    </w:p>
    <w:p w:rsidR="009D5208" w:rsidRPr="00FB7E3C" w:rsidRDefault="009D5208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9D5208" w:rsidRPr="00FB7E3C" w:rsidRDefault="009D5208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9D5208" w:rsidRPr="00FB7E3C" w:rsidRDefault="00263930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085EEA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085EEA">
        <w:rPr>
          <w:rFonts w:ascii="Times New Roman" w:hAnsi="Times New Roman"/>
          <w:sz w:val="28"/>
          <w:szCs w:val="28"/>
        </w:rPr>
        <w:t xml:space="preserve">от </w:t>
      </w:r>
      <w:r w:rsidR="00E33568">
        <w:rPr>
          <w:rFonts w:ascii="Times New Roman" w:hAnsi="Times New Roman"/>
          <w:sz w:val="28"/>
          <w:szCs w:val="28"/>
        </w:rPr>
        <w:t xml:space="preserve">28 </w:t>
      </w:r>
      <w:r w:rsidR="009B0CAE">
        <w:rPr>
          <w:rFonts w:ascii="Times New Roman" w:hAnsi="Times New Roman"/>
          <w:sz w:val="28"/>
          <w:szCs w:val="28"/>
        </w:rPr>
        <w:t>сентября</w:t>
      </w:r>
      <w:r w:rsidRPr="00085EEA">
        <w:rPr>
          <w:rFonts w:ascii="Times New Roman" w:hAnsi="Times New Roman"/>
          <w:sz w:val="28"/>
          <w:szCs w:val="28"/>
        </w:rPr>
        <w:t xml:space="preserve"> 201</w:t>
      </w:r>
      <w:r w:rsidR="00AA5340" w:rsidRPr="00085EEA">
        <w:rPr>
          <w:rFonts w:ascii="Times New Roman" w:hAnsi="Times New Roman"/>
          <w:sz w:val="28"/>
          <w:szCs w:val="28"/>
        </w:rPr>
        <w:t>6</w:t>
      </w:r>
      <w:r w:rsidRPr="00085EEA">
        <w:rPr>
          <w:rFonts w:ascii="Times New Roman" w:hAnsi="Times New Roman"/>
          <w:sz w:val="28"/>
          <w:szCs w:val="28"/>
        </w:rPr>
        <w:t xml:space="preserve"> года</w:t>
      </w:r>
      <w:r w:rsidRPr="00085EEA">
        <w:rPr>
          <w:rFonts w:ascii="Times New Roman" w:hAnsi="Times New Roman"/>
          <w:sz w:val="28"/>
          <w:szCs w:val="28"/>
        </w:rPr>
        <w:tab/>
      </w:r>
      <w:r w:rsidR="00652FB3" w:rsidRPr="00085EEA">
        <w:rPr>
          <w:rFonts w:ascii="Times New Roman" w:hAnsi="Times New Roman"/>
          <w:sz w:val="28"/>
          <w:szCs w:val="28"/>
        </w:rPr>
        <w:tab/>
      </w:r>
      <w:r w:rsidR="00652FB3" w:rsidRPr="00085EEA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085EEA">
        <w:rPr>
          <w:rFonts w:ascii="Times New Roman" w:hAnsi="Times New Roman"/>
          <w:sz w:val="28"/>
          <w:szCs w:val="28"/>
        </w:rPr>
        <w:t xml:space="preserve">                  №</w:t>
      </w:r>
      <w:r w:rsidR="00224F82">
        <w:rPr>
          <w:rFonts w:ascii="Times New Roman" w:hAnsi="Times New Roman"/>
          <w:sz w:val="28"/>
          <w:szCs w:val="28"/>
        </w:rPr>
        <w:t xml:space="preserve"> </w:t>
      </w:r>
      <w:r w:rsidR="009B0CAE">
        <w:rPr>
          <w:rFonts w:ascii="Times New Roman" w:hAnsi="Times New Roman"/>
          <w:sz w:val="28"/>
          <w:szCs w:val="28"/>
        </w:rPr>
        <w:t xml:space="preserve"> </w:t>
      </w:r>
      <w:r w:rsidR="00E33568">
        <w:rPr>
          <w:rFonts w:ascii="Times New Roman" w:hAnsi="Times New Roman"/>
          <w:sz w:val="28"/>
          <w:szCs w:val="28"/>
        </w:rPr>
        <w:t>156</w:t>
      </w:r>
      <w:r w:rsidR="00224F82">
        <w:rPr>
          <w:rFonts w:ascii="Times New Roman" w:hAnsi="Times New Roman"/>
          <w:sz w:val="28"/>
          <w:szCs w:val="28"/>
        </w:rPr>
        <w:t>-р</w:t>
      </w:r>
      <w:r w:rsidRPr="00085EEA">
        <w:rPr>
          <w:rFonts w:ascii="Times New Roman" w:hAnsi="Times New Roman"/>
          <w:sz w:val="28"/>
          <w:szCs w:val="28"/>
        </w:rPr>
        <w:t xml:space="preserve"> </w:t>
      </w:r>
      <w:r w:rsidR="00AA5340" w:rsidRPr="00085EEA">
        <w:rPr>
          <w:rFonts w:ascii="Times New Roman" w:hAnsi="Times New Roman"/>
          <w:sz w:val="28"/>
          <w:szCs w:val="28"/>
        </w:rPr>
        <w:t xml:space="preserve"> </w:t>
      </w:r>
    </w:p>
    <w:p w:rsidR="009D5208" w:rsidRPr="00085EEA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085EEA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D315CF" w:rsidRDefault="00412205" w:rsidP="00412205">
            <w:pPr>
              <w:jc w:val="both"/>
            </w:pPr>
            <w:proofErr w:type="gramStart"/>
            <w:r>
              <w:rPr>
                <w:sz w:val="24"/>
                <w:szCs w:val="24"/>
              </w:rPr>
              <w:t>О внесении изменений в</w:t>
            </w:r>
            <w:r w:rsidR="00D315CF" w:rsidRPr="00085EEA">
              <w:rPr>
                <w:sz w:val="24"/>
                <w:szCs w:val="24"/>
              </w:rPr>
              <w:t xml:space="preserve"> детальн</w:t>
            </w:r>
            <w:r>
              <w:rPr>
                <w:sz w:val="24"/>
                <w:szCs w:val="24"/>
              </w:rPr>
              <w:t>ый</w:t>
            </w:r>
            <w:r w:rsidR="00D315CF" w:rsidRPr="00085EEA">
              <w:rPr>
                <w:sz w:val="24"/>
                <w:szCs w:val="24"/>
              </w:rPr>
              <w:t xml:space="preserve"> плана реализации муниципальной программы </w:t>
            </w:r>
            <w:r w:rsidR="009D5208" w:rsidRPr="00085EEA">
              <w:rPr>
                <w:sz w:val="24"/>
                <w:szCs w:val="24"/>
              </w:rPr>
              <w:t>«</w:t>
            </w:r>
            <w:r w:rsidR="004C3274" w:rsidRPr="00085EEA">
              <w:rPr>
                <w:sz w:val="24"/>
                <w:szCs w:val="24"/>
              </w:rPr>
              <w:t>Безопасность</w:t>
            </w:r>
            <w:r w:rsidR="009D5208" w:rsidRPr="00085EEA">
              <w:rPr>
                <w:sz w:val="24"/>
                <w:szCs w:val="24"/>
              </w:rPr>
              <w:t xml:space="preserve"> на территории муниципального образования Пчевское сельское поселение Киришского муниципального района Ленинградской </w:t>
            </w:r>
            <w:r w:rsidR="009D5208" w:rsidRPr="009B0CAE">
              <w:rPr>
                <w:sz w:val="24"/>
                <w:szCs w:val="24"/>
              </w:rPr>
              <w:t>области»</w:t>
            </w:r>
            <w:r w:rsidR="00C10F7A" w:rsidRPr="009B0CAE">
              <w:rPr>
                <w:sz w:val="24"/>
                <w:szCs w:val="24"/>
              </w:rPr>
              <w:t xml:space="preserve"> </w:t>
            </w:r>
            <w:r w:rsidR="00D315CF" w:rsidRPr="009B0CAE">
              <w:rPr>
                <w:sz w:val="24"/>
                <w:szCs w:val="24"/>
              </w:rPr>
              <w:t>на 2016 год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-р</w:t>
            </w:r>
            <w:proofErr w:type="gramEnd"/>
          </w:p>
        </w:tc>
      </w:tr>
    </w:tbl>
    <w:p w:rsidR="009D5208" w:rsidRDefault="009D5208" w:rsidP="009D5208"/>
    <w:p w:rsidR="009D5208" w:rsidRPr="00085EEA" w:rsidRDefault="009D5208" w:rsidP="009D5208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085EEA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263930" w:rsidRPr="00085EEA">
        <w:rPr>
          <w:sz w:val="28"/>
          <w:szCs w:val="28"/>
        </w:rPr>
        <w:t>я от 20 октября 2015 года № 110</w:t>
      </w:r>
    </w:p>
    <w:p w:rsidR="007015DA" w:rsidRDefault="007015DA" w:rsidP="007015DA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Развитие культуры в</w:t>
      </w:r>
      <w:r w:rsidRPr="00540E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40E6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40E62">
        <w:rPr>
          <w:sz w:val="28"/>
          <w:szCs w:val="28"/>
        </w:rPr>
        <w:t xml:space="preserve"> Пчевское сельское поселение Киришского муниципального района Ленинградской области»</w:t>
      </w:r>
      <w:r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согласно приложению к настоящему </w:t>
      </w:r>
      <w:r>
        <w:rPr>
          <w:sz w:val="28"/>
          <w:szCs w:val="28"/>
        </w:rPr>
        <w:t>распоряжению</w:t>
      </w:r>
      <w:r w:rsidRPr="00540E62">
        <w:rPr>
          <w:sz w:val="28"/>
          <w:szCs w:val="28"/>
        </w:rPr>
        <w:t>.</w:t>
      </w:r>
    </w:p>
    <w:p w:rsidR="007015DA" w:rsidRPr="00540E62" w:rsidRDefault="007015DA" w:rsidP="007015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300C">
        <w:rPr>
          <w:sz w:val="28"/>
          <w:szCs w:val="28"/>
        </w:rPr>
        <w:t xml:space="preserve">. </w:t>
      </w:r>
      <w:r w:rsidRPr="00FE300C">
        <w:rPr>
          <w:sz w:val="28"/>
          <w:szCs w:val="28"/>
        </w:rPr>
        <w:tab/>
      </w:r>
      <w:proofErr w:type="gramStart"/>
      <w:r w:rsidRPr="00FE300C">
        <w:rPr>
          <w:sz w:val="28"/>
          <w:szCs w:val="28"/>
        </w:rPr>
        <w:t>Разместить</w:t>
      </w:r>
      <w:proofErr w:type="gramEnd"/>
      <w:r w:rsidRPr="00FE300C">
        <w:rPr>
          <w:sz w:val="28"/>
          <w:szCs w:val="28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7015DA" w:rsidRPr="00540E62" w:rsidRDefault="007015DA" w:rsidP="00701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208" w:rsidRPr="00085EEA" w:rsidRDefault="009D5208" w:rsidP="007015DA">
      <w:pPr>
        <w:ind w:firstLine="708"/>
        <w:jc w:val="both"/>
        <w:rPr>
          <w:sz w:val="28"/>
          <w:szCs w:val="28"/>
        </w:rPr>
      </w:pPr>
    </w:p>
    <w:p w:rsidR="009D5208" w:rsidRPr="00085EEA" w:rsidRDefault="009D5208" w:rsidP="009D5208">
      <w:pPr>
        <w:rPr>
          <w:sz w:val="28"/>
          <w:szCs w:val="28"/>
        </w:rPr>
      </w:pPr>
    </w:p>
    <w:p w:rsidR="009D5208" w:rsidRPr="00085EEA" w:rsidRDefault="00C10F7A" w:rsidP="009D5208">
      <w:pPr>
        <w:rPr>
          <w:sz w:val="28"/>
          <w:szCs w:val="28"/>
        </w:rPr>
      </w:pPr>
      <w:r w:rsidRPr="00085EEA">
        <w:rPr>
          <w:sz w:val="28"/>
          <w:szCs w:val="28"/>
        </w:rPr>
        <w:t>Глава администрации</w:t>
      </w:r>
      <w:r w:rsidR="007225EA" w:rsidRPr="00085EEA">
        <w:rPr>
          <w:sz w:val="28"/>
          <w:szCs w:val="28"/>
        </w:rPr>
        <w:tab/>
      </w:r>
      <w:r w:rsidR="007225EA" w:rsidRPr="00085EEA">
        <w:rPr>
          <w:sz w:val="28"/>
          <w:szCs w:val="28"/>
        </w:rPr>
        <w:tab/>
      </w:r>
      <w:r w:rsidR="009D5208" w:rsidRPr="00085EEA">
        <w:rPr>
          <w:sz w:val="28"/>
          <w:szCs w:val="28"/>
        </w:rPr>
        <w:tab/>
        <w:t xml:space="preserve">               </w:t>
      </w:r>
      <w:r w:rsidRPr="00085EEA">
        <w:rPr>
          <w:sz w:val="28"/>
          <w:szCs w:val="28"/>
        </w:rPr>
        <w:tab/>
      </w:r>
      <w:r w:rsidR="009D5208" w:rsidRPr="00085EEA">
        <w:rPr>
          <w:sz w:val="28"/>
          <w:szCs w:val="28"/>
        </w:rPr>
        <w:t xml:space="preserve">   </w:t>
      </w:r>
      <w:r w:rsidRPr="00085EEA">
        <w:rPr>
          <w:sz w:val="28"/>
          <w:szCs w:val="28"/>
        </w:rPr>
        <w:t>Д.Н. Левашов</w:t>
      </w:r>
    </w:p>
    <w:p w:rsidR="00C10F7A" w:rsidRDefault="00C10F7A" w:rsidP="009D5208">
      <w:pPr>
        <w:rPr>
          <w:sz w:val="28"/>
          <w:szCs w:val="28"/>
        </w:rPr>
      </w:pPr>
    </w:p>
    <w:p w:rsidR="00A34964" w:rsidRDefault="00A34964" w:rsidP="009D5208">
      <w:pPr>
        <w:rPr>
          <w:sz w:val="28"/>
          <w:szCs w:val="28"/>
        </w:rPr>
      </w:pPr>
    </w:p>
    <w:p w:rsidR="007B0673" w:rsidRDefault="007B0673" w:rsidP="007B0673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прокуратура.</w:t>
      </w:r>
    </w:p>
    <w:p w:rsidR="00263930" w:rsidRDefault="00263930" w:rsidP="00467096">
      <w:pPr>
        <w:rPr>
          <w:sz w:val="16"/>
          <w:szCs w:val="16"/>
        </w:rPr>
        <w:sectPr w:rsidR="00263930" w:rsidSect="007F5A2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67096" w:rsidRPr="00F42D57" w:rsidRDefault="00467096" w:rsidP="00467096">
      <w:pPr>
        <w:rPr>
          <w:sz w:val="16"/>
          <w:szCs w:val="16"/>
        </w:rPr>
      </w:pPr>
    </w:p>
    <w:p w:rsidR="00263930" w:rsidRPr="002F4925" w:rsidRDefault="00263930" w:rsidP="0026393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7B0673" w:rsidRPr="007B0673" w:rsidRDefault="00263930" w:rsidP="007B0673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 w:rsidR="00454E50">
        <w:rPr>
          <w:sz w:val="16"/>
          <w:szCs w:val="16"/>
        </w:rPr>
        <w:t>распоряжению</w:t>
      </w:r>
      <w:r>
        <w:rPr>
          <w:sz w:val="16"/>
          <w:szCs w:val="16"/>
        </w:rPr>
        <w:t xml:space="preserve"> </w:t>
      </w:r>
      <w:r w:rsidR="007B0673" w:rsidRPr="007B0673">
        <w:rPr>
          <w:sz w:val="16"/>
          <w:szCs w:val="16"/>
        </w:rPr>
        <w:t>от</w:t>
      </w:r>
      <w:r w:rsidR="00224F82">
        <w:rPr>
          <w:sz w:val="16"/>
          <w:szCs w:val="16"/>
        </w:rPr>
        <w:t xml:space="preserve"> </w:t>
      </w:r>
      <w:r w:rsidR="00E33568">
        <w:rPr>
          <w:sz w:val="16"/>
          <w:szCs w:val="16"/>
        </w:rPr>
        <w:t xml:space="preserve">28 </w:t>
      </w:r>
      <w:r w:rsidR="009B0CAE">
        <w:rPr>
          <w:sz w:val="16"/>
          <w:szCs w:val="16"/>
        </w:rPr>
        <w:t>сентября</w:t>
      </w:r>
      <w:r w:rsidR="007F5A21">
        <w:rPr>
          <w:sz w:val="16"/>
          <w:szCs w:val="16"/>
        </w:rPr>
        <w:t xml:space="preserve"> 2016</w:t>
      </w:r>
      <w:r w:rsidR="00C10F7A">
        <w:rPr>
          <w:sz w:val="16"/>
          <w:szCs w:val="16"/>
        </w:rPr>
        <w:t xml:space="preserve"> </w:t>
      </w:r>
      <w:r w:rsidR="00CF6983">
        <w:rPr>
          <w:sz w:val="16"/>
          <w:szCs w:val="16"/>
        </w:rPr>
        <w:t xml:space="preserve"> года </w:t>
      </w:r>
      <w:r w:rsidR="007B0673" w:rsidRPr="007B0673">
        <w:rPr>
          <w:sz w:val="16"/>
          <w:szCs w:val="16"/>
        </w:rPr>
        <w:t>№</w:t>
      </w:r>
      <w:r w:rsidR="00CF6983">
        <w:rPr>
          <w:sz w:val="16"/>
          <w:szCs w:val="16"/>
        </w:rPr>
        <w:t xml:space="preserve"> </w:t>
      </w:r>
      <w:r w:rsidR="009B0CAE">
        <w:rPr>
          <w:sz w:val="16"/>
          <w:szCs w:val="16"/>
        </w:rPr>
        <w:t xml:space="preserve"> </w:t>
      </w:r>
      <w:r w:rsidR="00E33568">
        <w:rPr>
          <w:sz w:val="16"/>
          <w:szCs w:val="16"/>
        </w:rPr>
        <w:t>156</w:t>
      </w:r>
      <w:r w:rsidR="00224F82">
        <w:rPr>
          <w:sz w:val="16"/>
          <w:szCs w:val="16"/>
        </w:rPr>
        <w:t>-р</w:t>
      </w:r>
    </w:p>
    <w:p w:rsidR="00263930" w:rsidRDefault="00263930" w:rsidP="007B0673">
      <w:pPr>
        <w:jc w:val="right"/>
        <w:rPr>
          <w:sz w:val="16"/>
          <w:szCs w:val="16"/>
        </w:rPr>
      </w:pPr>
    </w:p>
    <w:p w:rsidR="00054A99" w:rsidRPr="00394EF5" w:rsidRDefault="00054A99" w:rsidP="00054A99"/>
    <w:p w:rsidR="00054A99" w:rsidRDefault="00054A99" w:rsidP="00054A99">
      <w:pPr>
        <w:rPr>
          <w:b/>
          <w:sz w:val="24"/>
          <w:szCs w:val="24"/>
        </w:rPr>
      </w:pPr>
    </w:p>
    <w:p w:rsidR="00054A99" w:rsidRDefault="00054A99" w:rsidP="006968D7">
      <w:pPr>
        <w:rPr>
          <w:b/>
          <w:sz w:val="24"/>
          <w:szCs w:val="24"/>
        </w:rPr>
      </w:pPr>
    </w:p>
    <w:p w:rsidR="00054A99" w:rsidRPr="00766147" w:rsidRDefault="00054A99" w:rsidP="00054A99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 w:rsidR="0026275F"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54A99" w:rsidRDefault="00054A99" w:rsidP="00054A99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054A99" w:rsidRPr="00766147" w:rsidRDefault="00054A99" w:rsidP="0005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</w:t>
      </w:r>
      <w:r w:rsidRPr="00FB3E1F">
        <w:rPr>
          <w:b/>
          <w:sz w:val="24"/>
          <w:szCs w:val="24"/>
        </w:rPr>
        <w:t xml:space="preserve">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370016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054A99" w:rsidRDefault="00054A99" w:rsidP="00054A9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054A99" w:rsidRPr="00C83AFD" w:rsidTr="002D1E7B">
        <w:trPr>
          <w:trHeight w:val="367"/>
        </w:trPr>
        <w:tc>
          <w:tcPr>
            <w:tcW w:w="666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54A99" w:rsidRPr="00C83AFD" w:rsidRDefault="00054A99" w:rsidP="002D1E7B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54A99" w:rsidRPr="00C83AFD" w:rsidTr="002D1E7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</w:tr>
      <w:tr w:rsidR="00054A99" w:rsidRPr="00C83AFD" w:rsidTr="002D1E7B">
        <w:trPr>
          <w:trHeight w:val="47"/>
        </w:trPr>
        <w:tc>
          <w:tcPr>
            <w:tcW w:w="66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054A99" w:rsidP="0037001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370016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054A99" w:rsidRPr="00C83AFD" w:rsidTr="002D1E7B">
        <w:trPr>
          <w:trHeight w:val="82"/>
        </w:trPr>
        <w:tc>
          <w:tcPr>
            <w:tcW w:w="666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jc w:val="center"/>
            </w:pPr>
            <w:r>
              <w:t>2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</w:pPr>
            <w:r>
              <w:t>3</w:t>
            </w:r>
          </w:p>
        </w:tc>
        <w:tc>
          <w:tcPr>
            <w:tcW w:w="3656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54A99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054A99" w:rsidRPr="00C83AFD" w:rsidRDefault="00054A99" w:rsidP="002D1E7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rPr>
                <w:bCs/>
              </w:rPr>
            </w:pPr>
            <w:r w:rsidRPr="004E6C3F">
              <w:t>Содержание и ремонт источников пожарного водоснабжения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914C0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5777DD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777DD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5777DD" w:rsidP="002D1E7B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247D8C">
              <w:rPr>
                <w:bCs/>
              </w:rPr>
              <w:t>0,33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AE3DA7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AE3DA7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AE3DA7" w:rsidRPr="004E6C3F" w:rsidRDefault="00AE3DA7" w:rsidP="002D1E7B">
            <w:r>
              <w:t>Обеспечение мер пожарной безопасности</w:t>
            </w:r>
          </w:p>
        </w:tc>
        <w:tc>
          <w:tcPr>
            <w:tcW w:w="2219" w:type="dxa"/>
            <w:shd w:val="clear" w:color="auto" w:fill="auto"/>
          </w:tcPr>
          <w:p w:rsidR="00AE3DA7" w:rsidRDefault="00AE3DA7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AE3DA7" w:rsidRDefault="005777DD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AE3DA7" w:rsidRDefault="005777DD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AE3DA7" w:rsidRDefault="005777DD" w:rsidP="00247D8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AE3DA7" w:rsidRDefault="005777DD" w:rsidP="002D1E7B">
            <w:pPr>
              <w:jc w:val="right"/>
              <w:rPr>
                <w:bCs/>
              </w:rPr>
            </w:pPr>
            <w:r>
              <w:rPr>
                <w:bCs/>
              </w:rPr>
              <w:t>340,00</w:t>
            </w:r>
          </w:p>
        </w:tc>
        <w:tc>
          <w:tcPr>
            <w:tcW w:w="1812" w:type="dxa"/>
            <w:shd w:val="clear" w:color="auto" w:fill="auto"/>
          </w:tcPr>
          <w:p w:rsidR="00AE3DA7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  <w:r w:rsidR="005777DD">
              <w:rPr>
                <w:bCs/>
              </w:rPr>
              <w:t>,00</w:t>
            </w:r>
          </w:p>
        </w:tc>
      </w:tr>
      <w:tr w:rsidR="00054A99" w:rsidRPr="00C83AFD" w:rsidTr="002D1E7B">
        <w:trPr>
          <w:trHeight w:val="222"/>
        </w:trPr>
        <w:tc>
          <w:tcPr>
            <w:tcW w:w="666" w:type="dxa"/>
            <w:shd w:val="clear" w:color="auto" w:fill="auto"/>
          </w:tcPr>
          <w:p w:rsidR="00054A99" w:rsidRPr="00C83AFD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054A99" w:rsidRPr="00C83AFD" w:rsidRDefault="00054A99" w:rsidP="002D1E7B">
            <w:pPr>
              <w:rPr>
                <w:bCs/>
              </w:rPr>
            </w:pPr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482EF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людей на водных объектах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247D8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47D8C">
              <w:rPr>
                <w:bCs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247D8C" w:rsidP="002D1E7B">
            <w:pPr>
              <w:jc w:val="right"/>
              <w:rPr>
                <w:bCs/>
              </w:rPr>
            </w:pPr>
            <w:r>
              <w:rPr>
                <w:bCs/>
              </w:rPr>
              <w:t>136,72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34,44</w:t>
            </w:r>
          </w:p>
        </w:tc>
      </w:tr>
      <w:tr w:rsidR="00054A99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054A99" w:rsidRPr="00C83AFD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054A99" w:rsidRPr="00F42E8A" w:rsidRDefault="00054A99" w:rsidP="002D1E7B">
            <w:pPr>
              <w:rPr>
                <w:bCs/>
              </w:rPr>
            </w:pPr>
            <w:r>
              <w:t>Создание системы оповещения населения</w:t>
            </w:r>
          </w:p>
        </w:tc>
        <w:tc>
          <w:tcPr>
            <w:tcW w:w="2219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Pr="00482EF3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информирования населения об угрозах возникновения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054A99" w:rsidRPr="00C83AFD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Pr="00C83AFD" w:rsidRDefault="00054A99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65164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Pr="00C83AFD" w:rsidRDefault="00A65164" w:rsidP="002D1E7B">
            <w:pPr>
              <w:jc w:val="right"/>
              <w:rPr>
                <w:bCs/>
              </w:rPr>
            </w:pPr>
            <w:r>
              <w:rPr>
                <w:bCs/>
              </w:rPr>
              <w:t>190,45</w:t>
            </w:r>
          </w:p>
        </w:tc>
        <w:tc>
          <w:tcPr>
            <w:tcW w:w="1812" w:type="dxa"/>
            <w:shd w:val="clear" w:color="auto" w:fill="auto"/>
          </w:tcPr>
          <w:p w:rsidR="00054A99" w:rsidRPr="00C83AFD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54A99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054A99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054A99" w:rsidRPr="00F42E8A" w:rsidRDefault="00054A99" w:rsidP="002D1E7B">
            <w:pPr>
              <w:rPr>
                <w:bCs/>
              </w:rPr>
            </w:pPr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2219" w:type="dxa"/>
            <w:shd w:val="clear" w:color="auto" w:fill="auto"/>
          </w:tcPr>
          <w:p w:rsidR="00054A99" w:rsidRDefault="00054A99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054A99" w:rsidRDefault="00054A99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054A99" w:rsidRDefault="00054A99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shd w:val="clear" w:color="auto" w:fill="auto"/>
          </w:tcPr>
          <w:p w:rsidR="00054A99" w:rsidRDefault="00054A99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A65164">
              <w:rPr>
                <w:bCs/>
              </w:rPr>
              <w:t>5</w:t>
            </w:r>
          </w:p>
        </w:tc>
        <w:tc>
          <w:tcPr>
            <w:tcW w:w="1148" w:type="dxa"/>
            <w:shd w:val="clear" w:color="auto" w:fill="auto"/>
          </w:tcPr>
          <w:p w:rsidR="00054A99" w:rsidRDefault="00A65164" w:rsidP="002D1E7B">
            <w:pPr>
              <w:jc w:val="right"/>
              <w:rPr>
                <w:bCs/>
              </w:rPr>
            </w:pPr>
            <w:r>
              <w:rPr>
                <w:bCs/>
              </w:rPr>
              <w:t>171,74</w:t>
            </w:r>
          </w:p>
        </w:tc>
        <w:tc>
          <w:tcPr>
            <w:tcW w:w="1812" w:type="dxa"/>
            <w:shd w:val="clear" w:color="auto" w:fill="auto"/>
          </w:tcPr>
          <w:p w:rsidR="00054A99" w:rsidRDefault="00370016" w:rsidP="002D1E7B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6275F" w:rsidRPr="00C83AFD" w:rsidTr="002D1E7B">
        <w:trPr>
          <w:trHeight w:val="231"/>
        </w:trPr>
        <w:tc>
          <w:tcPr>
            <w:tcW w:w="666" w:type="dxa"/>
            <w:shd w:val="clear" w:color="auto" w:fill="auto"/>
          </w:tcPr>
          <w:p w:rsidR="0026275F" w:rsidRDefault="005777DD" w:rsidP="002D1E7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26275F" w:rsidRDefault="0026275F" w:rsidP="002D1E7B">
            <w:r>
              <w:t>Предупреждение и ликвидация чрезвычайных ситуаций</w:t>
            </w:r>
          </w:p>
        </w:tc>
        <w:tc>
          <w:tcPr>
            <w:tcW w:w="2219" w:type="dxa"/>
            <w:shd w:val="clear" w:color="auto" w:fill="auto"/>
          </w:tcPr>
          <w:p w:rsidR="0026275F" w:rsidRDefault="0026275F" w:rsidP="002D1E7B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26275F" w:rsidRDefault="0026275F" w:rsidP="002D1E7B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26275F" w:rsidRDefault="0026275F" w:rsidP="002D1E7B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shd w:val="clear" w:color="auto" w:fill="auto"/>
          </w:tcPr>
          <w:p w:rsidR="0026275F" w:rsidRDefault="0026275F" w:rsidP="00A6516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  <w:shd w:val="clear" w:color="auto" w:fill="auto"/>
          </w:tcPr>
          <w:p w:rsidR="0026275F" w:rsidRDefault="009B0CAE" w:rsidP="002D1E7B">
            <w:pPr>
              <w:jc w:val="right"/>
              <w:rPr>
                <w:bCs/>
              </w:rPr>
            </w:pPr>
            <w:r>
              <w:rPr>
                <w:bCs/>
              </w:rPr>
              <w:t>1614,36</w:t>
            </w:r>
          </w:p>
        </w:tc>
        <w:tc>
          <w:tcPr>
            <w:tcW w:w="1812" w:type="dxa"/>
            <w:shd w:val="clear" w:color="auto" w:fill="auto"/>
          </w:tcPr>
          <w:p w:rsidR="0026275F" w:rsidRDefault="009B0CAE" w:rsidP="002D1E7B">
            <w:pPr>
              <w:jc w:val="right"/>
              <w:rPr>
                <w:bCs/>
              </w:rPr>
            </w:pPr>
            <w:r>
              <w:rPr>
                <w:bCs/>
              </w:rPr>
              <w:t>499,50</w:t>
            </w:r>
          </w:p>
        </w:tc>
      </w:tr>
    </w:tbl>
    <w:p w:rsidR="004B6B1A" w:rsidRDefault="004B6B1A" w:rsidP="005665F3"/>
    <w:sectPr w:rsidR="004B6B1A" w:rsidSect="002639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037" w:rsidRDefault="007C3037" w:rsidP="007F5A21">
      <w:r>
        <w:separator/>
      </w:r>
    </w:p>
  </w:endnote>
  <w:endnote w:type="continuationSeparator" w:id="0">
    <w:p w:rsidR="007C3037" w:rsidRDefault="007C3037" w:rsidP="007F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037" w:rsidRDefault="007C3037" w:rsidP="007F5A21">
      <w:r>
        <w:separator/>
      </w:r>
    </w:p>
  </w:footnote>
  <w:footnote w:type="continuationSeparator" w:id="0">
    <w:p w:rsidR="007C3037" w:rsidRDefault="007C3037" w:rsidP="007F5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086"/>
    <w:multiLevelType w:val="multilevel"/>
    <w:tmpl w:val="8688B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8"/>
    <w:rsid w:val="00021CB3"/>
    <w:rsid w:val="00054A99"/>
    <w:rsid w:val="0008461A"/>
    <w:rsid w:val="00085EEA"/>
    <w:rsid w:val="00162F02"/>
    <w:rsid w:val="001C61D5"/>
    <w:rsid w:val="00204EF0"/>
    <w:rsid w:val="00224F82"/>
    <w:rsid w:val="00247D8C"/>
    <w:rsid w:val="0026275F"/>
    <w:rsid w:val="00263930"/>
    <w:rsid w:val="00370016"/>
    <w:rsid w:val="00412205"/>
    <w:rsid w:val="00454E50"/>
    <w:rsid w:val="00467096"/>
    <w:rsid w:val="004B6B1A"/>
    <w:rsid w:val="004C3274"/>
    <w:rsid w:val="00540E62"/>
    <w:rsid w:val="0055131F"/>
    <w:rsid w:val="005665F3"/>
    <w:rsid w:val="005777DD"/>
    <w:rsid w:val="0064451A"/>
    <w:rsid w:val="00652FB3"/>
    <w:rsid w:val="006968D7"/>
    <w:rsid w:val="006C331A"/>
    <w:rsid w:val="007015DA"/>
    <w:rsid w:val="007225EA"/>
    <w:rsid w:val="007B0673"/>
    <w:rsid w:val="007C3037"/>
    <w:rsid w:val="007F5A21"/>
    <w:rsid w:val="0086727C"/>
    <w:rsid w:val="009B0CAE"/>
    <w:rsid w:val="009D5208"/>
    <w:rsid w:val="00A34964"/>
    <w:rsid w:val="00A65164"/>
    <w:rsid w:val="00A71B40"/>
    <w:rsid w:val="00AA5340"/>
    <w:rsid w:val="00AB3A1C"/>
    <w:rsid w:val="00AE3DA7"/>
    <w:rsid w:val="00BC2673"/>
    <w:rsid w:val="00C10F7A"/>
    <w:rsid w:val="00C17A34"/>
    <w:rsid w:val="00C36CC6"/>
    <w:rsid w:val="00C57D89"/>
    <w:rsid w:val="00CF6983"/>
    <w:rsid w:val="00D315CF"/>
    <w:rsid w:val="00DE5F67"/>
    <w:rsid w:val="00E33568"/>
    <w:rsid w:val="00E5220B"/>
    <w:rsid w:val="00F752D0"/>
    <w:rsid w:val="00F90C32"/>
    <w:rsid w:val="00FD3016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10F7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5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A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460A-E12C-4A91-B1A2-625EDAEC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2015-11-05T07:15:00Z</cp:lastPrinted>
  <dcterms:created xsi:type="dcterms:W3CDTF">2015-10-29T08:46:00Z</dcterms:created>
  <dcterms:modified xsi:type="dcterms:W3CDTF">2016-09-28T12:45:00Z</dcterms:modified>
</cp:coreProperties>
</file>