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4A" w:rsidRDefault="00FC484A" w:rsidP="00FC484A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4A" w:rsidRDefault="00FC484A" w:rsidP="00FC484A">
      <w:pPr>
        <w:rPr>
          <w:b/>
        </w:rPr>
      </w:pPr>
    </w:p>
    <w:p w:rsidR="00FC484A" w:rsidRPr="00233AD5" w:rsidRDefault="00FC484A" w:rsidP="00FC484A">
      <w:pPr>
        <w:jc w:val="center"/>
        <w:rPr>
          <w:b/>
          <w:sz w:val="24"/>
          <w:szCs w:val="24"/>
        </w:rPr>
      </w:pPr>
      <w:r w:rsidRPr="00233AD5">
        <w:rPr>
          <w:b/>
          <w:sz w:val="24"/>
          <w:szCs w:val="24"/>
        </w:rPr>
        <w:t>РОССИЙСКАЯ ФЕДЕРАЦИЯ</w:t>
      </w:r>
      <w:r w:rsidRPr="00233AD5">
        <w:rPr>
          <w:b/>
          <w:sz w:val="24"/>
          <w:szCs w:val="24"/>
        </w:rPr>
        <w:br/>
        <w:t xml:space="preserve"> АДМИНИСТРАЦИЯ </w:t>
      </w:r>
    </w:p>
    <w:p w:rsidR="00FC484A" w:rsidRPr="00233AD5" w:rsidRDefault="00FC484A" w:rsidP="00FC484A">
      <w:pPr>
        <w:jc w:val="center"/>
        <w:rPr>
          <w:sz w:val="24"/>
          <w:szCs w:val="24"/>
        </w:rPr>
      </w:pPr>
      <w:r w:rsidRPr="00233AD5">
        <w:rPr>
          <w:b/>
          <w:sz w:val="24"/>
          <w:szCs w:val="24"/>
        </w:rPr>
        <w:t>МУНИЦИПАЛЬНОГО ОБРАЗОВАНИЯ</w:t>
      </w:r>
      <w:r w:rsidRPr="00233AD5">
        <w:rPr>
          <w:b/>
          <w:sz w:val="24"/>
          <w:szCs w:val="24"/>
        </w:rPr>
        <w:br/>
        <w:t>ПЧЕВСКОЕ СЕЛЬСКОЕ ПОСЕЛЕНИЕ</w:t>
      </w:r>
      <w:r w:rsidRPr="00233AD5">
        <w:rPr>
          <w:b/>
          <w:sz w:val="24"/>
          <w:szCs w:val="24"/>
        </w:rPr>
        <w:br/>
        <w:t>КИРИШСКОГО МУНИЦИПАЛЬНОГО РАЙОНА</w:t>
      </w:r>
      <w:r w:rsidRPr="00233AD5">
        <w:rPr>
          <w:b/>
          <w:sz w:val="24"/>
          <w:szCs w:val="24"/>
        </w:rPr>
        <w:br/>
        <w:t>ЛЕНИНГРАДСКОЙ ОБЛАСТИ</w:t>
      </w:r>
    </w:p>
    <w:p w:rsidR="00FC484A" w:rsidRPr="00233AD5" w:rsidRDefault="00FC484A" w:rsidP="00FC484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233AD5">
        <w:rPr>
          <w:b/>
          <w:color w:val="000000"/>
          <w:spacing w:val="-4"/>
          <w:sz w:val="24"/>
          <w:szCs w:val="24"/>
        </w:rPr>
        <w:t>ПОСТАНОВЛЕНИЕ</w:t>
      </w:r>
    </w:p>
    <w:p w:rsidR="00FC484A" w:rsidRPr="00540DC4" w:rsidRDefault="00FC484A" w:rsidP="00FC48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июня 2017 года    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0DC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51   </w:t>
      </w:r>
    </w:p>
    <w:p w:rsidR="00FC484A" w:rsidRPr="00540DC4" w:rsidRDefault="00FC484A" w:rsidP="00FC484A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FC484A" w:rsidRPr="00540DC4" w:rsidRDefault="00FC484A" w:rsidP="00FC484A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FC484A" w:rsidRPr="00FB7E3C" w:rsidTr="00470391">
        <w:trPr>
          <w:trHeight w:val="338"/>
        </w:trPr>
        <w:tc>
          <w:tcPr>
            <w:tcW w:w="5819" w:type="dxa"/>
          </w:tcPr>
          <w:p w:rsidR="00FC484A" w:rsidRPr="00FB7E3C" w:rsidRDefault="00FC484A" w:rsidP="00470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качественным жильем граждан на территории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FB7E3C">
              <w:rPr>
                <w:sz w:val="24"/>
                <w:szCs w:val="24"/>
              </w:rPr>
              <w:t xml:space="preserve"> </w:t>
            </w:r>
            <w:proofErr w:type="spellStart"/>
            <w:r w:rsidRPr="00FB7E3C">
              <w:rPr>
                <w:sz w:val="24"/>
                <w:szCs w:val="24"/>
              </w:rPr>
              <w:t>Пчевское</w:t>
            </w:r>
            <w:proofErr w:type="spellEnd"/>
            <w:r w:rsidRPr="00FB7E3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B7E3C">
              <w:rPr>
                <w:sz w:val="24"/>
                <w:szCs w:val="24"/>
              </w:rPr>
              <w:t>Киришского</w:t>
            </w:r>
            <w:proofErr w:type="spellEnd"/>
            <w:r w:rsidRPr="00FB7E3C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97</w:t>
            </w:r>
          </w:p>
        </w:tc>
      </w:tr>
    </w:tbl>
    <w:p w:rsidR="00FC484A" w:rsidRDefault="00FC484A" w:rsidP="00FC484A"/>
    <w:p w:rsidR="00FC484A" w:rsidRDefault="00FC484A" w:rsidP="00FC484A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054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C484A" w:rsidRPr="00FB7E3C" w:rsidRDefault="00FC484A" w:rsidP="00FC484A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FC484A" w:rsidRDefault="00FC484A" w:rsidP="00FC484A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 жильем граждан на территории</w:t>
      </w:r>
      <w:r w:rsidRPr="00FB7E3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B7E3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7E3C">
        <w:rPr>
          <w:sz w:val="28"/>
          <w:szCs w:val="28"/>
        </w:rPr>
        <w:t xml:space="preserve">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97 следующие изменения:</w:t>
      </w:r>
    </w:p>
    <w:p w:rsidR="00FC484A" w:rsidRDefault="00FC484A" w:rsidP="00FC48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971A66">
        <w:rPr>
          <w:sz w:val="28"/>
          <w:szCs w:val="28"/>
        </w:rPr>
        <w:t xml:space="preserve"> Программы </w:t>
      </w:r>
      <w:r w:rsidRPr="00065407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FC484A" w:rsidRPr="00065407" w:rsidRDefault="00FC484A" w:rsidP="00FC4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2 «Цели, задачи, показатели (индикаторы), конечные результаты, сроки и этапы реализации муниципальной программы» Программы </w:t>
      </w:r>
      <w:r>
        <w:rPr>
          <w:sz w:val="28"/>
          <w:szCs w:val="28"/>
        </w:rPr>
        <w:lastRenderedPageBreak/>
        <w:t>последний абзац изложить в следующей редакции: «Муниципальная программа реализуется в один этап в период 2015-2017 гг.»</w:t>
      </w:r>
    </w:p>
    <w:p w:rsidR="00FC484A" w:rsidRPr="00065407" w:rsidRDefault="00FC484A" w:rsidP="00FC484A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65407">
        <w:rPr>
          <w:sz w:val="28"/>
          <w:szCs w:val="28"/>
        </w:rPr>
        <w:t>. Раздел 4 Программы изложить в следующей редакции: «Общий объем финансирования Муниципальной программы за период 2015-201</w:t>
      </w:r>
      <w:r>
        <w:rPr>
          <w:sz w:val="28"/>
          <w:szCs w:val="28"/>
        </w:rPr>
        <w:t>7</w:t>
      </w:r>
      <w:r w:rsidRPr="00065407">
        <w:rPr>
          <w:sz w:val="28"/>
          <w:szCs w:val="28"/>
        </w:rPr>
        <w:t xml:space="preserve"> гг. составит в ценах соответствующих лет – </w:t>
      </w:r>
      <w:r>
        <w:rPr>
          <w:sz w:val="28"/>
          <w:szCs w:val="28"/>
        </w:rPr>
        <w:t xml:space="preserve">5995,82 </w:t>
      </w:r>
      <w:r w:rsidRPr="00065407">
        <w:rPr>
          <w:sz w:val="28"/>
          <w:szCs w:val="28"/>
        </w:rPr>
        <w:t xml:space="preserve">тыс. рублей, в том числе по годам: </w:t>
      </w:r>
    </w:p>
    <w:p w:rsidR="00FC484A" w:rsidRPr="00065407" w:rsidRDefault="00FC484A" w:rsidP="00FC484A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>2015 год – 2444,93 тыс. рублей;</w:t>
      </w:r>
    </w:p>
    <w:p w:rsidR="00FC484A" w:rsidRPr="00065407" w:rsidRDefault="00FC484A" w:rsidP="00FC484A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2029,48</w:t>
      </w:r>
      <w:r w:rsidRPr="00065407">
        <w:rPr>
          <w:sz w:val="28"/>
          <w:szCs w:val="28"/>
        </w:rPr>
        <w:t xml:space="preserve"> тыс. рублей;</w:t>
      </w:r>
    </w:p>
    <w:p w:rsidR="00FC484A" w:rsidRDefault="00FC484A" w:rsidP="00FC484A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1521,41 тыс. рублей</w:t>
      </w:r>
      <w:r w:rsidRPr="00065407">
        <w:rPr>
          <w:sz w:val="28"/>
          <w:szCs w:val="28"/>
        </w:rPr>
        <w:t>».</w:t>
      </w:r>
    </w:p>
    <w:p w:rsidR="00FC484A" w:rsidRPr="00245E21" w:rsidRDefault="00FC484A" w:rsidP="00FC484A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45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5E2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 «Перечень мероприятий, подпрограмм муниципальной программы «</w:t>
      </w:r>
      <w:r w:rsidRPr="00B31853">
        <w:rPr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Pr="00B31853">
        <w:rPr>
          <w:sz w:val="28"/>
          <w:szCs w:val="28"/>
        </w:rPr>
        <w:t>Пчевское</w:t>
      </w:r>
      <w:proofErr w:type="spellEnd"/>
      <w:r w:rsidRPr="00B31853">
        <w:rPr>
          <w:sz w:val="28"/>
          <w:szCs w:val="28"/>
        </w:rPr>
        <w:t xml:space="preserve"> сельское поселение </w:t>
      </w:r>
      <w:proofErr w:type="spellStart"/>
      <w:r w:rsidRPr="00B31853">
        <w:rPr>
          <w:sz w:val="28"/>
          <w:szCs w:val="28"/>
        </w:rPr>
        <w:t>Киришского</w:t>
      </w:r>
      <w:proofErr w:type="spellEnd"/>
      <w:r w:rsidRPr="00B31853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FC484A" w:rsidRPr="0026215C" w:rsidRDefault="00FC484A" w:rsidP="00FC484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1.5.Приложение 3 «Сведения о показателях (индикаторах» муниципальной программы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и их значениях» к Программе изложить в редакции согласно Приложения 3 к настоящему постановлению.</w:t>
      </w:r>
      <w:proofErr w:type="gramEnd"/>
    </w:p>
    <w:p w:rsidR="00FC484A" w:rsidRPr="00245E21" w:rsidRDefault="00FC484A" w:rsidP="00FC484A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45E2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6 «План реализации муниципальной программы «Обеспечение качественным жильем граждан на территории</w:t>
      </w:r>
      <w:r w:rsidRPr="00FB7E3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B7E3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7E3C">
        <w:rPr>
          <w:sz w:val="28"/>
          <w:szCs w:val="28"/>
        </w:rPr>
        <w:t xml:space="preserve">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FC484A" w:rsidRDefault="00FC484A" w:rsidP="00FC4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FC484A" w:rsidRDefault="00FC484A" w:rsidP="00FC4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FC484A" w:rsidRDefault="00FC484A" w:rsidP="00FC4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484A" w:rsidRPr="006B0DAC" w:rsidRDefault="00FC484A" w:rsidP="00FC4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84A" w:rsidRDefault="00FC484A" w:rsidP="00FC484A">
      <w:pPr>
        <w:rPr>
          <w:sz w:val="28"/>
          <w:szCs w:val="28"/>
        </w:rPr>
      </w:pPr>
    </w:p>
    <w:p w:rsidR="00FC484A" w:rsidRDefault="00FC484A" w:rsidP="00FC484A">
      <w:pPr>
        <w:rPr>
          <w:sz w:val="28"/>
          <w:szCs w:val="28"/>
        </w:rPr>
      </w:pPr>
    </w:p>
    <w:p w:rsidR="00FC484A" w:rsidRDefault="00FC484A" w:rsidP="00FC484A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FC484A" w:rsidRDefault="00FC484A" w:rsidP="00FC484A">
      <w:pPr>
        <w:ind w:firstLine="708"/>
        <w:jc w:val="both"/>
        <w:rPr>
          <w:sz w:val="28"/>
          <w:szCs w:val="28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Pr="00077E5D" w:rsidRDefault="00FC484A" w:rsidP="00FC484A"/>
    <w:p w:rsidR="00FC484A" w:rsidRPr="002A12C6" w:rsidRDefault="00FC484A" w:rsidP="00FC484A">
      <w:pPr>
        <w:rPr>
          <w:sz w:val="28"/>
          <w:szCs w:val="28"/>
        </w:rPr>
      </w:pPr>
    </w:p>
    <w:p w:rsidR="00FC484A" w:rsidRPr="00077E5D" w:rsidRDefault="00FC484A" w:rsidP="00FC484A"/>
    <w:p w:rsidR="00FC484A" w:rsidRDefault="00FC484A" w:rsidP="00FC484A"/>
    <w:p w:rsidR="00FC484A" w:rsidRPr="0035696F" w:rsidRDefault="00FC484A" w:rsidP="00FC484A"/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FC484A" w:rsidRPr="00DA25CE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FC484A" w:rsidRPr="00DD3EA2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>к постановлению от</w:t>
      </w:r>
      <w:r>
        <w:rPr>
          <w:rFonts w:ascii="Times New Roman" w:hAnsi="Times New Roman" w:cs="Times New Roman"/>
          <w:sz w:val="16"/>
          <w:szCs w:val="16"/>
        </w:rPr>
        <w:t xml:space="preserve"> 14</w:t>
      </w:r>
      <w:r w:rsidRPr="00DA2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июня</w:t>
      </w:r>
      <w:r w:rsidRPr="00DA25CE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DA25CE">
        <w:rPr>
          <w:rFonts w:ascii="Times New Roman" w:hAnsi="Times New Roman" w:cs="Times New Roman"/>
          <w:sz w:val="16"/>
          <w:szCs w:val="16"/>
        </w:rPr>
        <w:t xml:space="preserve"> года №</w:t>
      </w:r>
      <w:r>
        <w:rPr>
          <w:rFonts w:ascii="Times New Roman" w:hAnsi="Times New Roman" w:cs="Times New Roman"/>
          <w:sz w:val="16"/>
          <w:szCs w:val="16"/>
        </w:rPr>
        <w:t xml:space="preserve"> 51 </w:t>
      </w:r>
    </w:p>
    <w:p w:rsidR="00FC484A" w:rsidRDefault="00FC484A" w:rsidP="00FC4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484A" w:rsidRDefault="00FC484A" w:rsidP="00FC4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484A" w:rsidRPr="00ED7691" w:rsidRDefault="00FC484A" w:rsidP="00FC484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7691">
        <w:rPr>
          <w:rFonts w:ascii="Times New Roman" w:hAnsi="Times New Roman" w:cs="Times New Roman"/>
          <w:sz w:val="22"/>
          <w:szCs w:val="22"/>
        </w:rPr>
        <w:t>ПАСПОРТ</w:t>
      </w:r>
    </w:p>
    <w:p w:rsidR="00FC484A" w:rsidRPr="00ED7691" w:rsidRDefault="00FC484A" w:rsidP="00FC48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7691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FC484A" w:rsidRPr="00ED7691" w:rsidRDefault="00FC484A" w:rsidP="00FC48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7691">
        <w:rPr>
          <w:rFonts w:ascii="Times New Roman" w:hAnsi="Times New Roman" w:cs="Times New Roman"/>
          <w:sz w:val="22"/>
          <w:szCs w:val="22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ED7691">
        <w:rPr>
          <w:rFonts w:ascii="Times New Roman" w:hAnsi="Times New Roman" w:cs="Times New Roman"/>
          <w:sz w:val="22"/>
          <w:szCs w:val="22"/>
        </w:rPr>
        <w:t>Пчевское</w:t>
      </w:r>
      <w:proofErr w:type="spellEnd"/>
      <w:r w:rsidRPr="00ED7691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ED7691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ED7691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области»</w:t>
      </w:r>
    </w:p>
    <w:p w:rsidR="00FC484A" w:rsidRPr="00ED7691" w:rsidRDefault="00FC484A" w:rsidP="00FC484A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Пчевское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Киришского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C484A" w:rsidRPr="00ED7691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FC484A" w:rsidRPr="00ED7691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благоприятного и комфортного проживания граждан в домах жилищного фонда </w:t>
            </w: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надлежащей эксплуатации жилищного фонда многоквартирных домов;</w:t>
            </w:r>
          </w:p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функций в сфере управления муниципальным жилищным фондом;</w:t>
            </w:r>
          </w:p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>2015-201</w:t>
            </w:r>
            <w:r>
              <w:rPr>
                <w:sz w:val="22"/>
                <w:szCs w:val="22"/>
              </w:rPr>
              <w:t>7</w:t>
            </w:r>
            <w:r w:rsidRPr="00ED7691">
              <w:rPr>
                <w:sz w:val="22"/>
                <w:szCs w:val="22"/>
              </w:rPr>
              <w:t xml:space="preserve"> гг. </w:t>
            </w:r>
          </w:p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Реализуется в один этап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>Объем финансовых средств, предусмотренных на реализацию программы  в 2015-201</w:t>
            </w:r>
            <w:r>
              <w:rPr>
                <w:sz w:val="22"/>
                <w:szCs w:val="22"/>
              </w:rPr>
              <w:t>7</w:t>
            </w:r>
            <w:r w:rsidRPr="00ED7691">
              <w:rPr>
                <w:sz w:val="22"/>
                <w:szCs w:val="22"/>
              </w:rPr>
              <w:t xml:space="preserve">гг. составляет: </w:t>
            </w:r>
            <w:r>
              <w:rPr>
                <w:sz w:val="22"/>
                <w:szCs w:val="22"/>
              </w:rPr>
              <w:t xml:space="preserve">5995,82 </w:t>
            </w:r>
            <w:r w:rsidRPr="00ED7691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ED7691">
              <w:rPr>
                <w:sz w:val="22"/>
                <w:szCs w:val="22"/>
              </w:rPr>
              <w:t>рублей, в том числе:</w:t>
            </w:r>
          </w:p>
          <w:p w:rsidR="00FC484A" w:rsidRPr="00ED7691" w:rsidRDefault="00FC484A" w:rsidP="0047039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>федеральный бюджет – 0 тыс. рублей;</w:t>
            </w:r>
          </w:p>
          <w:p w:rsidR="00FC484A" w:rsidRPr="00ED7691" w:rsidRDefault="00FC484A" w:rsidP="0047039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FC484A" w:rsidRPr="00ED7691" w:rsidRDefault="00FC484A" w:rsidP="0047039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ED7691">
              <w:rPr>
                <w:sz w:val="22"/>
                <w:szCs w:val="22"/>
              </w:rPr>
              <w:t>Пчевское</w:t>
            </w:r>
            <w:proofErr w:type="spellEnd"/>
            <w:r w:rsidRPr="00ED7691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ED7691">
              <w:rPr>
                <w:sz w:val="22"/>
                <w:szCs w:val="22"/>
              </w:rPr>
              <w:t>Киришского</w:t>
            </w:r>
            <w:proofErr w:type="spellEnd"/>
            <w:r w:rsidRPr="00ED7691">
              <w:rPr>
                <w:sz w:val="22"/>
                <w:szCs w:val="22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5995,82</w:t>
            </w:r>
            <w:r w:rsidRPr="00ED7691">
              <w:rPr>
                <w:sz w:val="22"/>
                <w:szCs w:val="22"/>
              </w:rPr>
              <w:t xml:space="preserve"> тыс. рублей;</w:t>
            </w:r>
          </w:p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иные источники – 0 тыс. рублей. </w:t>
            </w:r>
          </w:p>
        </w:tc>
      </w:tr>
      <w:tr w:rsidR="00FC484A" w:rsidRPr="00ED7691" w:rsidTr="0047039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надлежащей эксплуатации жилищного фонда многоквартирных домов;</w:t>
            </w:r>
          </w:p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Своевременное начисление платы за наем муниципального жилищного фонда;</w:t>
            </w:r>
          </w:p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Своевременное оформление документов по приватизации жилых помещений;</w:t>
            </w:r>
          </w:p>
          <w:p w:rsidR="00FC484A" w:rsidRPr="00ED7691" w:rsidRDefault="00FC484A" w:rsidP="0047039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Уплата взносов на капитальный ремонт общего имущества многоквартирных домов в отношении муниципального жилого фонда в полном объеме</w:t>
            </w:r>
          </w:p>
        </w:tc>
      </w:tr>
    </w:tbl>
    <w:p w:rsidR="00FC484A" w:rsidRPr="0035696F" w:rsidRDefault="00FC484A" w:rsidP="00FC484A">
      <w:pPr>
        <w:sectPr w:rsidR="00FC484A" w:rsidRPr="0035696F" w:rsidSect="00233AD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C484A" w:rsidRPr="00F7450D" w:rsidRDefault="00FC484A" w:rsidP="00FC484A">
      <w:pPr>
        <w:jc w:val="right"/>
        <w:rPr>
          <w:sz w:val="16"/>
          <w:szCs w:val="16"/>
        </w:rPr>
      </w:pPr>
      <w:r w:rsidRPr="00F7450D">
        <w:rPr>
          <w:sz w:val="16"/>
          <w:szCs w:val="16"/>
        </w:rPr>
        <w:lastRenderedPageBreak/>
        <w:t>Приложение 2</w:t>
      </w:r>
    </w:p>
    <w:p w:rsidR="00FC484A" w:rsidRPr="00DD3EA2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>к постановлению от</w:t>
      </w:r>
      <w:r>
        <w:rPr>
          <w:rFonts w:ascii="Times New Roman" w:hAnsi="Times New Roman" w:cs="Times New Roman"/>
          <w:sz w:val="16"/>
          <w:szCs w:val="16"/>
        </w:rPr>
        <w:t xml:space="preserve"> 14</w:t>
      </w:r>
      <w:r w:rsidRPr="00DA2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июня</w:t>
      </w:r>
      <w:r w:rsidRPr="00DA25CE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DA25CE">
        <w:rPr>
          <w:rFonts w:ascii="Times New Roman" w:hAnsi="Times New Roman" w:cs="Times New Roman"/>
          <w:sz w:val="16"/>
          <w:szCs w:val="16"/>
        </w:rPr>
        <w:t xml:space="preserve"> года №</w:t>
      </w:r>
      <w:r>
        <w:rPr>
          <w:rFonts w:ascii="Times New Roman" w:hAnsi="Times New Roman" w:cs="Times New Roman"/>
          <w:sz w:val="16"/>
          <w:szCs w:val="16"/>
        </w:rPr>
        <w:t xml:space="preserve"> 51 </w:t>
      </w:r>
    </w:p>
    <w:p w:rsidR="00FC484A" w:rsidRDefault="00FC484A" w:rsidP="00FC484A">
      <w:pPr>
        <w:jc w:val="right"/>
      </w:pPr>
    </w:p>
    <w:p w:rsidR="00FC484A" w:rsidRPr="00876332" w:rsidRDefault="00FC484A" w:rsidP="00FC484A">
      <w:pPr>
        <w:jc w:val="right"/>
      </w:pPr>
    </w:p>
    <w:p w:rsidR="00FC484A" w:rsidRPr="00876332" w:rsidRDefault="00FC484A" w:rsidP="00FC484A"/>
    <w:p w:rsidR="00FC484A" w:rsidRDefault="00FC484A" w:rsidP="00FC4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FC484A" w:rsidRPr="002D1BE8" w:rsidRDefault="00FC484A" w:rsidP="00FC484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2D1BE8"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FC484A" w:rsidRDefault="00FC484A" w:rsidP="00FC484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Пчев</w:t>
      </w:r>
      <w:r w:rsidRPr="002D1BE8">
        <w:rPr>
          <w:b/>
          <w:sz w:val="24"/>
          <w:szCs w:val="24"/>
        </w:rPr>
        <w:t>ское</w:t>
      </w:r>
      <w:proofErr w:type="spellEnd"/>
      <w:r w:rsidRPr="002D1BE8">
        <w:rPr>
          <w:b/>
          <w:sz w:val="24"/>
          <w:szCs w:val="24"/>
        </w:rPr>
        <w:t xml:space="preserve"> сельское поселение </w:t>
      </w:r>
      <w:proofErr w:type="spellStart"/>
      <w:r w:rsidRPr="002D1BE8">
        <w:rPr>
          <w:b/>
          <w:sz w:val="24"/>
          <w:szCs w:val="24"/>
        </w:rPr>
        <w:t>Киришского</w:t>
      </w:r>
      <w:proofErr w:type="spellEnd"/>
      <w:r w:rsidRPr="002D1BE8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FC484A" w:rsidRDefault="00FC484A" w:rsidP="00FC484A">
      <w:pPr>
        <w:jc w:val="center"/>
        <w:rPr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FC484A" w:rsidRPr="00482EF3" w:rsidTr="00470391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FC484A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FC484A" w:rsidRPr="00482EF3" w:rsidTr="00470391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</w:p>
        </w:tc>
      </w:tr>
      <w:tr w:rsidR="00FC484A" w:rsidRPr="00482EF3" w:rsidTr="00470391">
        <w:trPr>
          <w:trHeight w:val="223"/>
        </w:trPr>
        <w:tc>
          <w:tcPr>
            <w:tcW w:w="486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C484A" w:rsidRPr="00482EF3" w:rsidTr="00470391">
        <w:trPr>
          <w:trHeight w:val="1411"/>
        </w:trPr>
        <w:tc>
          <w:tcPr>
            <w:tcW w:w="486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FC484A" w:rsidRPr="004F48FD" w:rsidRDefault="00FC484A" w:rsidP="00470391">
            <w:r w:rsidRPr="004F48FD">
              <w:t>Обеспечение надлежащей эксплуатации жилищного фонда многоквартирных домов</w:t>
            </w:r>
          </w:p>
        </w:tc>
        <w:tc>
          <w:tcPr>
            <w:tcW w:w="162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FC484A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несбалансированный рост платы населения за содержание и ремонт жилого помещения по отношению к росту платы за коммунальные услуги</w:t>
            </w:r>
          </w:p>
          <w:p w:rsidR="00FC484A" w:rsidRPr="00914C03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рост задолженности по оплате за жилищно-коммунальные услуги</w:t>
            </w:r>
          </w:p>
        </w:tc>
        <w:tc>
          <w:tcPr>
            <w:tcW w:w="3600" w:type="dxa"/>
            <w:shd w:val="clear" w:color="auto" w:fill="auto"/>
          </w:tcPr>
          <w:p w:rsidR="00FC484A" w:rsidRPr="00914C03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Коэффициент повышения платы населения за содержание и ремонт жилого помещения (ежегодно не более 12% по отношению к прошлому периоду)</w:t>
            </w:r>
          </w:p>
        </w:tc>
      </w:tr>
      <w:tr w:rsidR="00FC484A" w:rsidRPr="00482EF3" w:rsidTr="00470391">
        <w:trPr>
          <w:trHeight w:val="689"/>
        </w:trPr>
        <w:tc>
          <w:tcPr>
            <w:tcW w:w="486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2.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FC484A" w:rsidRPr="003E2370" w:rsidRDefault="00FC484A" w:rsidP="00470391">
            <w:pPr>
              <w:rPr>
                <w:bCs/>
              </w:rPr>
            </w:pPr>
            <w:r w:rsidRPr="003E2370"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C484A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несвоевременное начисление платы за наем муниципального жилищного фонда;</w:t>
            </w:r>
          </w:p>
          <w:p w:rsidR="00FC484A" w:rsidRPr="00482EF3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несоблюдение сроков оформления документов по приватизации жилых помещений</w:t>
            </w:r>
          </w:p>
        </w:tc>
        <w:tc>
          <w:tcPr>
            <w:tcW w:w="3600" w:type="dxa"/>
            <w:shd w:val="clear" w:color="auto" w:fill="auto"/>
          </w:tcPr>
          <w:p w:rsidR="00FC484A" w:rsidRPr="00CF0B70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жилых помещений муниципального жилищного фонда, по которым своевременно начисляется плата за наем (ежегодно 100 %)</w:t>
            </w:r>
          </w:p>
        </w:tc>
      </w:tr>
      <w:tr w:rsidR="00FC484A" w:rsidRPr="00482EF3" w:rsidTr="00470391">
        <w:trPr>
          <w:trHeight w:val="688"/>
        </w:trPr>
        <w:tc>
          <w:tcPr>
            <w:tcW w:w="486" w:type="dxa"/>
            <w:vMerge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FC484A" w:rsidRPr="003E2370" w:rsidRDefault="00FC484A" w:rsidP="00470391"/>
        </w:tc>
        <w:tc>
          <w:tcPr>
            <w:tcW w:w="1620" w:type="dxa"/>
            <w:vMerge/>
            <w:shd w:val="clear" w:color="auto" w:fill="auto"/>
          </w:tcPr>
          <w:p w:rsidR="00FC484A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C484A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C484A" w:rsidRDefault="00FC484A" w:rsidP="00470391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C484A" w:rsidRDefault="00FC484A" w:rsidP="00470391">
            <w:pPr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FC484A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приватизированных жилых помещений с соблюдением сроков оформления документов (в 2015 году – 100%)</w:t>
            </w:r>
          </w:p>
        </w:tc>
      </w:tr>
      <w:tr w:rsidR="00FC484A" w:rsidRPr="00482EF3" w:rsidTr="00470391">
        <w:trPr>
          <w:trHeight w:val="244"/>
        </w:trPr>
        <w:tc>
          <w:tcPr>
            <w:tcW w:w="486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FC484A" w:rsidRPr="00054908" w:rsidRDefault="00FC484A" w:rsidP="00470391">
            <w:r w:rsidRPr="00054908"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62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FC484A" w:rsidRPr="00482EF3" w:rsidRDefault="00FC484A" w:rsidP="0047039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FC484A" w:rsidRPr="00CF0B70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обязанности собственника жилых помещений муниципального жилищного фонда по оплате взносов на капитальный ремонт общего имущества</w:t>
            </w:r>
          </w:p>
        </w:tc>
        <w:tc>
          <w:tcPr>
            <w:tcW w:w="3600" w:type="dxa"/>
            <w:shd w:val="clear" w:color="auto" w:fill="auto"/>
          </w:tcPr>
          <w:p w:rsidR="00FC484A" w:rsidRPr="00482EF3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жилых помещений муниципального жилищного фонда, по которым уплачены взносы на капитальный ремонт (ежегодно 100%)</w:t>
            </w:r>
          </w:p>
        </w:tc>
      </w:tr>
    </w:tbl>
    <w:p w:rsidR="00FC484A" w:rsidRDefault="00FC484A" w:rsidP="00FC484A">
      <w:pPr>
        <w:jc w:val="both"/>
        <w:rPr>
          <w:sz w:val="24"/>
          <w:szCs w:val="24"/>
        </w:rPr>
      </w:pPr>
    </w:p>
    <w:p w:rsidR="00FC484A" w:rsidRDefault="00FC484A" w:rsidP="00FC484A">
      <w:pPr>
        <w:jc w:val="both"/>
        <w:rPr>
          <w:sz w:val="24"/>
          <w:szCs w:val="24"/>
        </w:rPr>
      </w:pPr>
    </w:p>
    <w:p w:rsidR="00FC484A" w:rsidRDefault="00FC484A" w:rsidP="00FC484A">
      <w:pPr>
        <w:jc w:val="both"/>
        <w:rPr>
          <w:sz w:val="24"/>
          <w:szCs w:val="24"/>
        </w:rPr>
      </w:pPr>
    </w:p>
    <w:p w:rsidR="00FC484A" w:rsidRPr="008D7E30" w:rsidRDefault="00FC484A" w:rsidP="00FC484A">
      <w:pPr>
        <w:jc w:val="both"/>
        <w:rPr>
          <w:sz w:val="24"/>
          <w:szCs w:val="24"/>
        </w:rPr>
      </w:pPr>
    </w:p>
    <w:p w:rsidR="00FC484A" w:rsidRDefault="00FC484A" w:rsidP="00FC484A">
      <w:pPr>
        <w:jc w:val="right"/>
      </w:pPr>
    </w:p>
    <w:p w:rsidR="00FC484A" w:rsidRDefault="00FC484A" w:rsidP="00FC484A">
      <w:pPr>
        <w:jc w:val="right"/>
      </w:pPr>
    </w:p>
    <w:p w:rsidR="00FC484A" w:rsidRPr="00F7450D" w:rsidRDefault="00FC484A" w:rsidP="00FC484A">
      <w:pPr>
        <w:jc w:val="right"/>
        <w:rPr>
          <w:sz w:val="16"/>
          <w:szCs w:val="16"/>
        </w:rPr>
      </w:pPr>
      <w:r w:rsidRPr="00F7450D">
        <w:rPr>
          <w:sz w:val="16"/>
          <w:szCs w:val="16"/>
        </w:rPr>
        <w:lastRenderedPageBreak/>
        <w:t>Приложение 3</w:t>
      </w:r>
    </w:p>
    <w:p w:rsidR="00FC484A" w:rsidRPr="00DD3EA2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>к постановлению от</w:t>
      </w:r>
      <w:r>
        <w:rPr>
          <w:rFonts w:ascii="Times New Roman" w:hAnsi="Times New Roman" w:cs="Times New Roman"/>
          <w:sz w:val="16"/>
          <w:szCs w:val="16"/>
        </w:rPr>
        <w:t xml:space="preserve"> 14</w:t>
      </w:r>
      <w:r w:rsidRPr="00DA2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июня</w:t>
      </w:r>
      <w:r w:rsidRPr="00DA25CE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DA25CE">
        <w:rPr>
          <w:rFonts w:ascii="Times New Roman" w:hAnsi="Times New Roman" w:cs="Times New Roman"/>
          <w:sz w:val="16"/>
          <w:szCs w:val="16"/>
        </w:rPr>
        <w:t xml:space="preserve"> года №</w:t>
      </w:r>
      <w:r>
        <w:rPr>
          <w:rFonts w:ascii="Times New Roman" w:hAnsi="Times New Roman" w:cs="Times New Roman"/>
          <w:sz w:val="16"/>
          <w:szCs w:val="16"/>
        </w:rPr>
        <w:t xml:space="preserve"> 51 </w:t>
      </w:r>
    </w:p>
    <w:p w:rsidR="00FC484A" w:rsidRDefault="00FC484A" w:rsidP="00FC484A">
      <w:pPr>
        <w:jc w:val="right"/>
      </w:pPr>
    </w:p>
    <w:p w:rsidR="00FC484A" w:rsidRDefault="00FC484A" w:rsidP="00FC484A">
      <w:pPr>
        <w:jc w:val="right"/>
      </w:pPr>
    </w:p>
    <w:p w:rsidR="00FC484A" w:rsidRDefault="00FC484A" w:rsidP="00FC484A">
      <w:pPr>
        <w:jc w:val="right"/>
      </w:pPr>
    </w:p>
    <w:p w:rsidR="00FC484A" w:rsidRPr="00876332" w:rsidRDefault="00FC484A" w:rsidP="00FC484A">
      <w:pPr>
        <w:jc w:val="right"/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jc w:val="center"/>
        <w:rPr>
          <w:b/>
          <w:sz w:val="24"/>
          <w:szCs w:val="24"/>
        </w:rPr>
      </w:pPr>
      <w:r w:rsidRPr="00475C3D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FC484A" w:rsidRPr="002D1BE8" w:rsidRDefault="00FC484A" w:rsidP="00FC484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2D1BE8"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FC484A" w:rsidRDefault="00FC484A" w:rsidP="00FC484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Пчев</w:t>
      </w:r>
      <w:r w:rsidRPr="002D1BE8">
        <w:rPr>
          <w:b/>
          <w:sz w:val="24"/>
          <w:szCs w:val="24"/>
        </w:rPr>
        <w:t>ское</w:t>
      </w:r>
      <w:proofErr w:type="spellEnd"/>
      <w:r w:rsidRPr="002D1BE8">
        <w:rPr>
          <w:b/>
          <w:sz w:val="24"/>
          <w:szCs w:val="24"/>
        </w:rPr>
        <w:t xml:space="preserve"> сельское поселение </w:t>
      </w:r>
      <w:proofErr w:type="spellStart"/>
      <w:r w:rsidRPr="002D1BE8">
        <w:rPr>
          <w:b/>
          <w:sz w:val="24"/>
          <w:szCs w:val="24"/>
        </w:rPr>
        <w:t>Киришского</w:t>
      </w:r>
      <w:proofErr w:type="spellEnd"/>
      <w:r w:rsidRPr="002D1BE8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их значениях</w:t>
      </w:r>
    </w:p>
    <w:p w:rsidR="00FC484A" w:rsidRDefault="00FC484A" w:rsidP="00FC484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183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5415"/>
        <w:gridCol w:w="1800"/>
        <w:gridCol w:w="1800"/>
        <w:gridCol w:w="1257"/>
        <w:gridCol w:w="1134"/>
        <w:gridCol w:w="1275"/>
        <w:gridCol w:w="5184"/>
      </w:tblGrid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42A">
              <w:rPr>
                <w:rFonts w:ascii="Times New Roman" w:hAnsi="Times New Roman" w:cs="Times New Roman"/>
              </w:rPr>
              <w:t>/</w:t>
            </w:r>
            <w:proofErr w:type="spell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13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4F48FD">
              <w:rPr>
                <w:rFonts w:ascii="Times New Roman" w:hAnsi="Times New Roman" w:cs="Times New Roman"/>
                <w:i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914C03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Коэффициент повышения платы населения за содержание и ремонт жилого помещения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BC5ECE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BC5ECE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BC5ECE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31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>
              <w:t xml:space="preserve"> </w:t>
            </w:r>
            <w:r w:rsidRPr="004C5064">
              <w:rPr>
                <w:rFonts w:ascii="Times New Roman" w:hAnsi="Times New Roman" w:cs="Times New Roman"/>
                <w:i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CF0B70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жилых помещений муниципального жилищного фонда, по которым своевременно начисляется плата за наем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rPr>
                <w:rFonts w:eastAsia="Calibri"/>
              </w:rPr>
            </w:pPr>
            <w:r>
              <w:rPr>
                <w:rFonts w:eastAsia="Calibri"/>
              </w:rPr>
              <w:t>Доля приватизированных жилых помещений с соблюдением сроков оформления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9803E0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803E0">
              <w:rPr>
                <w:rFonts w:ascii="Times New Roman" w:hAnsi="Times New Roman" w:cs="Times New Roman"/>
                <w:i/>
              </w:rPr>
              <w:t>3.</w:t>
            </w:r>
            <w:r>
              <w:t xml:space="preserve"> </w:t>
            </w:r>
            <w:r w:rsidRPr="00B77C66">
              <w:rPr>
                <w:rFonts w:ascii="Times New Roman" w:hAnsi="Times New Roman" w:cs="Times New Roman"/>
                <w:i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4A" w:rsidRPr="009803E0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484A" w:rsidRPr="00D43D59" w:rsidTr="00470391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D13952" w:rsidRDefault="00FC484A" w:rsidP="00470391">
            <w:pPr>
              <w:pStyle w:val="ConsPlusCell"/>
              <w:rPr>
                <w:rFonts w:ascii="Times New Roman" w:hAnsi="Times New Roman" w:cs="Times New Roman"/>
              </w:rPr>
            </w:pPr>
            <w:r w:rsidRPr="00D13952">
              <w:rPr>
                <w:rFonts w:ascii="Times New Roman" w:hAnsi="Times New Roman" w:cs="Times New Roman"/>
              </w:rPr>
              <w:t xml:space="preserve">Доля жилых помещений муниципального жилищного фонда, по которым уплачены взносы на капитальный ремонт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Pr="000A042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84A" w:rsidRDefault="00FC484A" w:rsidP="004703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84A" w:rsidRDefault="00FC484A" w:rsidP="00FC484A">
      <w:pPr>
        <w:rPr>
          <w:sz w:val="16"/>
          <w:szCs w:val="16"/>
        </w:rPr>
      </w:pPr>
    </w:p>
    <w:p w:rsidR="00FC484A" w:rsidRPr="005E7390" w:rsidRDefault="00FC484A" w:rsidP="00FC484A">
      <w:pPr>
        <w:rPr>
          <w:sz w:val="16"/>
          <w:szCs w:val="16"/>
        </w:rPr>
      </w:pPr>
    </w:p>
    <w:p w:rsidR="00FC484A" w:rsidRPr="005E7390" w:rsidRDefault="00FC484A" w:rsidP="00FC484A">
      <w:pPr>
        <w:rPr>
          <w:sz w:val="16"/>
          <w:szCs w:val="16"/>
        </w:rPr>
      </w:pPr>
    </w:p>
    <w:p w:rsidR="00FC484A" w:rsidRPr="005E7390" w:rsidRDefault="00FC484A" w:rsidP="00FC484A">
      <w:pPr>
        <w:rPr>
          <w:sz w:val="16"/>
          <w:szCs w:val="16"/>
        </w:rPr>
      </w:pPr>
    </w:p>
    <w:p w:rsidR="00FC484A" w:rsidRPr="005E7390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Default="00FC484A" w:rsidP="00FC484A">
      <w:pPr>
        <w:jc w:val="right"/>
        <w:rPr>
          <w:sz w:val="16"/>
          <w:szCs w:val="16"/>
        </w:rPr>
      </w:pPr>
    </w:p>
    <w:p w:rsidR="00FC484A" w:rsidRPr="00F7450D" w:rsidRDefault="00FC484A" w:rsidP="00FC484A">
      <w:pPr>
        <w:jc w:val="right"/>
        <w:rPr>
          <w:sz w:val="16"/>
          <w:szCs w:val="16"/>
        </w:rPr>
      </w:pPr>
      <w:r w:rsidRPr="00F7450D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FC484A" w:rsidRPr="00DD3EA2" w:rsidRDefault="00FC484A" w:rsidP="00FC484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>к постановлению от</w:t>
      </w:r>
      <w:r>
        <w:rPr>
          <w:rFonts w:ascii="Times New Roman" w:hAnsi="Times New Roman" w:cs="Times New Roman"/>
          <w:sz w:val="16"/>
          <w:szCs w:val="16"/>
        </w:rPr>
        <w:t xml:space="preserve"> 14</w:t>
      </w:r>
      <w:r w:rsidRPr="00DA2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июня</w:t>
      </w:r>
      <w:r w:rsidRPr="00DA25CE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DA25CE">
        <w:rPr>
          <w:rFonts w:ascii="Times New Roman" w:hAnsi="Times New Roman" w:cs="Times New Roman"/>
          <w:sz w:val="16"/>
          <w:szCs w:val="16"/>
        </w:rPr>
        <w:t xml:space="preserve"> года №</w:t>
      </w:r>
      <w:r>
        <w:rPr>
          <w:rFonts w:ascii="Times New Roman" w:hAnsi="Times New Roman" w:cs="Times New Roman"/>
          <w:sz w:val="16"/>
          <w:szCs w:val="16"/>
        </w:rPr>
        <w:t xml:space="preserve"> 51 </w:t>
      </w: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rPr>
          <w:sz w:val="16"/>
          <w:szCs w:val="16"/>
        </w:rPr>
      </w:pPr>
    </w:p>
    <w:p w:rsidR="00FC484A" w:rsidRDefault="00FC484A" w:rsidP="00FC4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FC484A" w:rsidRDefault="00FC484A" w:rsidP="00FC484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FC484A" w:rsidRPr="00693CCD" w:rsidRDefault="00FC484A" w:rsidP="00FC484A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FC484A" w:rsidRDefault="00FC484A" w:rsidP="00FC484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295"/>
        <w:gridCol w:w="1712"/>
        <w:gridCol w:w="1235"/>
        <w:gridCol w:w="1190"/>
        <w:gridCol w:w="1190"/>
        <w:gridCol w:w="1206"/>
        <w:gridCol w:w="1374"/>
        <w:gridCol w:w="1530"/>
        <w:gridCol w:w="1470"/>
        <w:gridCol w:w="1237"/>
      </w:tblGrid>
      <w:tr w:rsidR="00FC484A" w:rsidTr="00470391">
        <w:tc>
          <w:tcPr>
            <w:tcW w:w="487" w:type="dxa"/>
            <w:vMerge w:val="restart"/>
          </w:tcPr>
          <w:p w:rsidR="00FC484A" w:rsidRPr="00A83C37" w:rsidRDefault="00FC484A" w:rsidP="00470391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712" w:type="dxa"/>
            <w:vMerge w:val="restart"/>
          </w:tcPr>
          <w:p w:rsidR="00FC484A" w:rsidRPr="00A83C37" w:rsidRDefault="00FC484A" w:rsidP="00470391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425" w:type="dxa"/>
            <w:gridSpan w:val="2"/>
          </w:tcPr>
          <w:p w:rsidR="00FC484A" w:rsidRPr="00A83C37" w:rsidRDefault="00FC484A" w:rsidP="00470391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Годы реализации</w:t>
            </w:r>
          </w:p>
        </w:tc>
        <w:tc>
          <w:tcPr>
            <w:tcW w:w="6817" w:type="dxa"/>
            <w:gridSpan w:val="5"/>
          </w:tcPr>
          <w:p w:rsidR="00FC484A" w:rsidRDefault="00FC484A" w:rsidP="00470391">
            <w:pPr>
              <w:jc w:val="center"/>
            </w:pPr>
            <w:r w:rsidRPr="00756E46">
              <w:t>Планируемые объемы финансирования</w:t>
            </w:r>
          </w:p>
          <w:p w:rsidR="00FC484A" w:rsidRPr="00A83C37" w:rsidRDefault="00FC484A" w:rsidP="00470391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FC484A" w:rsidTr="00470391">
        <w:trPr>
          <w:trHeight w:val="226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Конец реализации</w:t>
            </w:r>
          </w:p>
        </w:tc>
        <w:tc>
          <w:tcPr>
            <w:tcW w:w="1190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06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всего</w:t>
            </w:r>
          </w:p>
        </w:tc>
        <w:tc>
          <w:tcPr>
            <w:tcW w:w="5611" w:type="dxa"/>
            <w:gridSpan w:val="4"/>
          </w:tcPr>
          <w:p w:rsidR="00FC484A" w:rsidRPr="00A83C37" w:rsidRDefault="00FC484A" w:rsidP="00470391">
            <w:pPr>
              <w:jc w:val="center"/>
            </w:pPr>
            <w:r>
              <w:t>в том числе</w:t>
            </w:r>
          </w:p>
        </w:tc>
      </w:tr>
      <w:tr w:rsidR="00FC484A" w:rsidTr="00470391">
        <w:trPr>
          <w:trHeight w:val="225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06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374" w:type="dxa"/>
          </w:tcPr>
          <w:p w:rsidR="00FC484A" w:rsidRDefault="00FC484A" w:rsidP="00470391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</w:tcPr>
          <w:p w:rsidR="00FC484A" w:rsidRPr="00A83C37" w:rsidRDefault="00FC484A" w:rsidP="00470391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</w:tcPr>
          <w:p w:rsidR="00FC484A" w:rsidRPr="00A83C37" w:rsidRDefault="00FC484A" w:rsidP="00470391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</w:tcPr>
          <w:p w:rsidR="00FC484A" w:rsidRPr="00A83C37" w:rsidRDefault="00FC484A" w:rsidP="00470391">
            <w:pPr>
              <w:jc w:val="center"/>
            </w:pPr>
            <w:r>
              <w:t>прочие источники</w:t>
            </w:r>
          </w:p>
        </w:tc>
      </w:tr>
      <w:tr w:rsidR="00FC484A" w:rsidTr="00470391">
        <w:trPr>
          <w:trHeight w:val="225"/>
        </w:trPr>
        <w:tc>
          <w:tcPr>
            <w:tcW w:w="487" w:type="dxa"/>
          </w:tcPr>
          <w:p w:rsidR="00FC484A" w:rsidRPr="00A83C37" w:rsidRDefault="00FC484A" w:rsidP="00470391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C484A" w:rsidRPr="00A83C37" w:rsidRDefault="00FC484A" w:rsidP="00470391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FC484A" w:rsidRPr="00A83C37" w:rsidRDefault="00FC484A" w:rsidP="00470391">
            <w:pPr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FC484A" w:rsidRDefault="00FC484A" w:rsidP="00470391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FC484A" w:rsidRDefault="00FC484A" w:rsidP="00470391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center"/>
            </w:pPr>
            <w:r>
              <w:t>7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center"/>
            </w:pPr>
            <w:r>
              <w:t>9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center"/>
            </w:pPr>
            <w:r>
              <w:t>10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center"/>
            </w:pPr>
            <w:r>
              <w:t>11</w:t>
            </w:r>
          </w:p>
        </w:tc>
      </w:tr>
      <w:tr w:rsidR="00FC484A" w:rsidTr="00470391">
        <w:trPr>
          <w:trHeight w:val="225"/>
        </w:trPr>
        <w:tc>
          <w:tcPr>
            <w:tcW w:w="487" w:type="dxa"/>
            <w:vMerge w:val="restart"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4007" w:type="dxa"/>
            <w:gridSpan w:val="2"/>
            <w:vMerge w:val="restart"/>
          </w:tcPr>
          <w:p w:rsidR="00FC484A" w:rsidRPr="009741DA" w:rsidRDefault="00FC484A" w:rsidP="00470391">
            <w:pPr>
              <w:jc w:val="both"/>
              <w:rPr>
                <w:b/>
              </w:rPr>
            </w:pPr>
            <w:r w:rsidRPr="009741DA">
              <w:rPr>
                <w:b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 w:rsidRPr="009741DA">
              <w:rPr>
                <w:b/>
              </w:rPr>
              <w:t>Пчевское</w:t>
            </w:r>
            <w:proofErr w:type="spellEnd"/>
            <w:r w:rsidRPr="009741DA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</w:t>
            </w:r>
            <w:proofErr w:type="spellStart"/>
            <w:r w:rsidRPr="009741DA">
              <w:rPr>
                <w:b/>
              </w:rPr>
              <w:t>Киришского</w:t>
            </w:r>
            <w:proofErr w:type="spellEnd"/>
            <w:r w:rsidRPr="009741DA">
              <w:rPr>
                <w:b/>
              </w:rPr>
              <w:t xml:space="preserve"> муниципального района Ленинградской области»</w:t>
            </w:r>
          </w:p>
          <w:p w:rsidR="00FC484A" w:rsidRPr="009741DA" w:rsidRDefault="00FC484A" w:rsidP="00470391">
            <w:pPr>
              <w:jc w:val="both"/>
              <w:rPr>
                <w:b/>
              </w:rPr>
            </w:pPr>
          </w:p>
          <w:p w:rsidR="00FC484A" w:rsidRPr="00281A84" w:rsidRDefault="00FC484A" w:rsidP="00470391">
            <w:pPr>
              <w:rPr>
                <w:b/>
              </w:rPr>
            </w:pPr>
          </w:p>
        </w:tc>
        <w:tc>
          <w:tcPr>
            <w:tcW w:w="1235" w:type="dxa"/>
            <w:vMerge w:val="restart"/>
          </w:tcPr>
          <w:p w:rsidR="00FC484A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FC484A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FC484A" w:rsidRPr="00A83C37" w:rsidRDefault="00FC484A" w:rsidP="00470391">
            <w:pPr>
              <w:jc w:val="right"/>
            </w:pPr>
            <w:r>
              <w:t>2444,93</w:t>
            </w:r>
          </w:p>
        </w:tc>
        <w:tc>
          <w:tcPr>
            <w:tcW w:w="1374" w:type="dxa"/>
          </w:tcPr>
          <w:p w:rsidR="00FC484A" w:rsidRPr="00A83C37" w:rsidRDefault="00FC484A" w:rsidP="00470391">
            <w:pPr>
              <w:jc w:val="right"/>
            </w:pPr>
            <w:r>
              <w:t>0,00</w:t>
            </w:r>
          </w:p>
        </w:tc>
        <w:tc>
          <w:tcPr>
            <w:tcW w:w="1530" w:type="dxa"/>
          </w:tcPr>
          <w:p w:rsidR="00FC484A" w:rsidRPr="00A83C37" w:rsidRDefault="00FC484A" w:rsidP="0047039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FC484A" w:rsidRPr="00A83C37" w:rsidRDefault="00FC484A" w:rsidP="00470391">
            <w:pPr>
              <w:jc w:val="right"/>
            </w:pPr>
            <w:r>
              <w:t>2444,93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FE7EEF">
              <w:t>0,00</w:t>
            </w:r>
          </w:p>
        </w:tc>
      </w:tr>
      <w:tr w:rsidR="00FC484A" w:rsidTr="00470391">
        <w:trPr>
          <w:trHeight w:val="225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4007" w:type="dxa"/>
            <w:gridSpan w:val="2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FC484A" w:rsidRPr="00A83C37" w:rsidRDefault="00FC484A" w:rsidP="00470391">
            <w:pPr>
              <w:jc w:val="right"/>
            </w:pPr>
            <w:r>
              <w:t>2029,48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FC484A" w:rsidRPr="00A83C37" w:rsidRDefault="00FC484A" w:rsidP="00470391">
            <w:pPr>
              <w:jc w:val="right"/>
            </w:pPr>
            <w:r>
              <w:t>2029,48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FE7EEF">
              <w:t>0,00</w:t>
            </w:r>
          </w:p>
        </w:tc>
      </w:tr>
      <w:tr w:rsidR="00FC484A" w:rsidTr="00470391">
        <w:trPr>
          <w:trHeight w:val="360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4007" w:type="dxa"/>
            <w:gridSpan w:val="2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FC484A" w:rsidRPr="00A83C37" w:rsidRDefault="00FC484A" w:rsidP="00470391">
            <w:pPr>
              <w:jc w:val="right"/>
            </w:pPr>
            <w:r>
              <w:t>1521,41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FC484A" w:rsidRPr="00A83C37" w:rsidRDefault="00FC484A" w:rsidP="00470391">
            <w:pPr>
              <w:jc w:val="right"/>
            </w:pPr>
            <w:r>
              <w:t>1521,41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FE7EEF">
              <w:t>0,00</w:t>
            </w:r>
          </w:p>
        </w:tc>
      </w:tr>
      <w:tr w:rsidR="00FC484A" w:rsidTr="00470391">
        <w:trPr>
          <w:trHeight w:val="225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7622" w:type="dxa"/>
            <w:gridSpan w:val="5"/>
          </w:tcPr>
          <w:p w:rsidR="00FC484A" w:rsidRPr="00281A84" w:rsidRDefault="00FC484A" w:rsidP="00470391">
            <w:pPr>
              <w:jc w:val="both"/>
              <w:rPr>
                <w:b/>
              </w:rPr>
            </w:pPr>
            <w:r w:rsidRPr="00281A84">
              <w:rPr>
                <w:b/>
              </w:rPr>
              <w:t>Всего:</w:t>
            </w:r>
          </w:p>
          <w:p w:rsidR="00FC484A" w:rsidRPr="00A83C37" w:rsidRDefault="00FC484A" w:rsidP="00470391">
            <w:pPr>
              <w:jc w:val="both"/>
            </w:pPr>
          </w:p>
        </w:tc>
        <w:tc>
          <w:tcPr>
            <w:tcW w:w="1206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5995,82</w:t>
            </w:r>
          </w:p>
        </w:tc>
        <w:tc>
          <w:tcPr>
            <w:tcW w:w="1374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530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 w:rsidRPr="00AD70C3">
              <w:t>0,00</w:t>
            </w:r>
          </w:p>
        </w:tc>
        <w:tc>
          <w:tcPr>
            <w:tcW w:w="1470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5995,82</w:t>
            </w:r>
          </w:p>
        </w:tc>
        <w:tc>
          <w:tcPr>
            <w:tcW w:w="1237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FC484A" w:rsidTr="00470391">
        <w:tc>
          <w:tcPr>
            <w:tcW w:w="487" w:type="dxa"/>
            <w:vMerge w:val="restart"/>
          </w:tcPr>
          <w:p w:rsidR="00FC484A" w:rsidRPr="00A83C37" w:rsidRDefault="00FC484A" w:rsidP="00470391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</w:tcPr>
          <w:p w:rsidR="00FC484A" w:rsidRPr="006E2A34" w:rsidRDefault="00FC484A" w:rsidP="00470391">
            <w:r w:rsidRPr="00281A84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надлежащей эксплуатации жилищного фонда многоквартирных домов</w:t>
            </w:r>
          </w:p>
        </w:tc>
        <w:tc>
          <w:tcPr>
            <w:tcW w:w="1712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  <w:p w:rsidR="00FC484A" w:rsidRPr="00A83C37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>
              <w:t>1964,16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CF4252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BA1211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1964,16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DC578E">
              <w:t>0,00</w:t>
            </w:r>
          </w:p>
        </w:tc>
      </w:tr>
      <w:tr w:rsidR="00FC484A" w:rsidTr="00470391"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>
              <w:t>1639,08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CF4252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BA1211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1639,08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DC578E">
              <w:t>0,00</w:t>
            </w:r>
          </w:p>
        </w:tc>
      </w:tr>
      <w:tr w:rsidR="00FC484A" w:rsidTr="00470391">
        <w:trPr>
          <w:trHeight w:val="315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>
              <w:t>1134,64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CF4252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BA1211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1134,64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DC578E">
              <w:t>0,00</w:t>
            </w:r>
          </w:p>
        </w:tc>
      </w:tr>
      <w:tr w:rsidR="00FC484A" w:rsidTr="00470391"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7622" w:type="dxa"/>
            <w:gridSpan w:val="5"/>
          </w:tcPr>
          <w:p w:rsidR="00FC484A" w:rsidRPr="00281A84" w:rsidRDefault="00FC484A" w:rsidP="00470391">
            <w:pPr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FC484A" w:rsidRPr="00A83C37" w:rsidRDefault="00FC484A" w:rsidP="00470391">
            <w:pPr>
              <w:jc w:val="center"/>
            </w:pPr>
          </w:p>
        </w:tc>
        <w:tc>
          <w:tcPr>
            <w:tcW w:w="1206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4737,88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3B616C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3B616C">
              <w:t>0,00</w:t>
            </w:r>
          </w:p>
        </w:tc>
        <w:tc>
          <w:tcPr>
            <w:tcW w:w="1470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4737,88</w:t>
            </w:r>
          </w:p>
        </w:tc>
        <w:tc>
          <w:tcPr>
            <w:tcW w:w="1237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t>0,00</w:t>
            </w:r>
          </w:p>
        </w:tc>
      </w:tr>
      <w:tr w:rsidR="00FC484A" w:rsidTr="00470391">
        <w:tc>
          <w:tcPr>
            <w:tcW w:w="487" w:type="dxa"/>
            <w:vMerge w:val="restart"/>
          </w:tcPr>
          <w:p w:rsidR="00FC484A" w:rsidRPr="00A83C37" w:rsidRDefault="00FC484A" w:rsidP="00470391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</w:tcPr>
          <w:p w:rsidR="00FC484A" w:rsidRPr="006E2A34" w:rsidRDefault="00FC484A" w:rsidP="00470391"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712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>
              <w:t>99,22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72482F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72482F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99,22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DC7219">
              <w:t>0,00</w:t>
            </w:r>
          </w:p>
        </w:tc>
      </w:tr>
      <w:tr w:rsidR="00FC484A" w:rsidTr="00470391"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 w:rsidRPr="00982D6E">
              <w:t>67,10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72482F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72482F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67,10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DC7219">
              <w:t>0,00</w:t>
            </w:r>
          </w:p>
        </w:tc>
      </w:tr>
      <w:tr w:rsidR="00FC484A" w:rsidTr="00470391">
        <w:trPr>
          <w:trHeight w:val="285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FC484A" w:rsidRPr="00C56696" w:rsidRDefault="00FC484A" w:rsidP="00470391">
            <w:pPr>
              <w:jc w:val="right"/>
            </w:pPr>
            <w:r w:rsidRPr="00C56696">
              <w:t>87,14*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72482F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72482F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87,14*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DC7219">
              <w:t>0,00</w:t>
            </w:r>
          </w:p>
        </w:tc>
      </w:tr>
      <w:tr w:rsidR="00FC484A" w:rsidTr="00470391"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7622" w:type="dxa"/>
            <w:gridSpan w:val="5"/>
          </w:tcPr>
          <w:p w:rsidR="00FC484A" w:rsidRPr="00281A84" w:rsidRDefault="00FC484A" w:rsidP="00470391">
            <w:pPr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FC484A" w:rsidRPr="00A83C37" w:rsidRDefault="00FC484A" w:rsidP="00470391">
            <w:pPr>
              <w:jc w:val="center"/>
            </w:pPr>
          </w:p>
        </w:tc>
        <w:tc>
          <w:tcPr>
            <w:tcW w:w="1206" w:type="dxa"/>
          </w:tcPr>
          <w:p w:rsidR="00FC484A" w:rsidRPr="00C56696" w:rsidRDefault="00FC484A" w:rsidP="00470391">
            <w:pPr>
              <w:jc w:val="right"/>
              <w:rPr>
                <w:b/>
              </w:rPr>
            </w:pPr>
            <w:r w:rsidRPr="00C56696">
              <w:rPr>
                <w:b/>
              </w:rPr>
              <w:t>233,42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BA1100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BA1100">
              <w:t>0,00</w:t>
            </w:r>
          </w:p>
        </w:tc>
        <w:tc>
          <w:tcPr>
            <w:tcW w:w="1470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233,42</w:t>
            </w:r>
          </w:p>
        </w:tc>
        <w:tc>
          <w:tcPr>
            <w:tcW w:w="1237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FC484A" w:rsidTr="00470391">
        <w:tc>
          <w:tcPr>
            <w:tcW w:w="487" w:type="dxa"/>
            <w:vMerge w:val="restart"/>
          </w:tcPr>
          <w:p w:rsidR="00FC484A" w:rsidRPr="00A83C37" w:rsidRDefault="00FC484A" w:rsidP="00470391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</w:tcPr>
          <w:p w:rsidR="00FC484A" w:rsidRPr="006E2A34" w:rsidRDefault="00FC484A" w:rsidP="00470391"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712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>
              <w:t>381,55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6F41E9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6F41E9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381,55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C95535">
              <w:t>0,00</w:t>
            </w:r>
          </w:p>
        </w:tc>
      </w:tr>
      <w:tr w:rsidR="00FC484A" w:rsidTr="00470391"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 w:rsidRPr="00982D6E">
              <w:t>323,30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6F41E9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6F41E9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323,30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C95535">
              <w:t>0,00</w:t>
            </w:r>
          </w:p>
        </w:tc>
      </w:tr>
      <w:tr w:rsidR="00FC484A" w:rsidTr="00470391">
        <w:trPr>
          <w:trHeight w:val="330"/>
        </w:trPr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2295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712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1235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  <w:vMerge/>
          </w:tcPr>
          <w:p w:rsidR="00FC484A" w:rsidRDefault="00FC484A" w:rsidP="00470391">
            <w:pPr>
              <w:jc w:val="center"/>
            </w:pPr>
          </w:p>
        </w:tc>
        <w:tc>
          <w:tcPr>
            <w:tcW w:w="1190" w:type="dxa"/>
          </w:tcPr>
          <w:p w:rsidR="00FC484A" w:rsidRPr="00A83C37" w:rsidRDefault="00FC484A" w:rsidP="0047039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FC484A" w:rsidRDefault="00FC484A" w:rsidP="00470391">
            <w:pPr>
              <w:jc w:val="right"/>
            </w:pPr>
            <w:r>
              <w:t>319,67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right"/>
            </w:pPr>
            <w:r w:rsidRPr="006F41E9">
              <w:t>0,00</w:t>
            </w:r>
          </w:p>
        </w:tc>
        <w:tc>
          <w:tcPr>
            <w:tcW w:w="1530" w:type="dxa"/>
          </w:tcPr>
          <w:p w:rsidR="00FC484A" w:rsidRDefault="00FC484A" w:rsidP="00470391">
            <w:pPr>
              <w:jc w:val="right"/>
            </w:pPr>
            <w:r w:rsidRPr="006F41E9">
              <w:t>0,00</w:t>
            </w:r>
          </w:p>
        </w:tc>
        <w:tc>
          <w:tcPr>
            <w:tcW w:w="1470" w:type="dxa"/>
          </w:tcPr>
          <w:p w:rsidR="00FC484A" w:rsidRDefault="00FC484A" w:rsidP="00470391">
            <w:pPr>
              <w:jc w:val="right"/>
            </w:pPr>
            <w:r>
              <w:t>319,67</w:t>
            </w:r>
          </w:p>
        </w:tc>
        <w:tc>
          <w:tcPr>
            <w:tcW w:w="1237" w:type="dxa"/>
          </w:tcPr>
          <w:p w:rsidR="00FC484A" w:rsidRDefault="00FC484A" w:rsidP="00470391">
            <w:pPr>
              <w:jc w:val="right"/>
            </w:pPr>
            <w:r w:rsidRPr="00C95535">
              <w:t>0,00</w:t>
            </w:r>
          </w:p>
        </w:tc>
      </w:tr>
      <w:tr w:rsidR="00FC484A" w:rsidTr="00470391">
        <w:tc>
          <w:tcPr>
            <w:tcW w:w="487" w:type="dxa"/>
            <w:vMerge/>
          </w:tcPr>
          <w:p w:rsidR="00FC484A" w:rsidRPr="00A83C37" w:rsidRDefault="00FC484A" w:rsidP="00470391">
            <w:pPr>
              <w:jc w:val="both"/>
            </w:pPr>
          </w:p>
        </w:tc>
        <w:tc>
          <w:tcPr>
            <w:tcW w:w="7622" w:type="dxa"/>
            <w:gridSpan w:val="5"/>
          </w:tcPr>
          <w:p w:rsidR="00FC484A" w:rsidRPr="00281A84" w:rsidRDefault="00FC484A" w:rsidP="00470391">
            <w:pPr>
              <w:jc w:val="both"/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FC484A" w:rsidRPr="00A83C37" w:rsidRDefault="00FC484A" w:rsidP="00470391"/>
        </w:tc>
        <w:tc>
          <w:tcPr>
            <w:tcW w:w="1206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1024,52</w:t>
            </w:r>
          </w:p>
        </w:tc>
        <w:tc>
          <w:tcPr>
            <w:tcW w:w="1374" w:type="dxa"/>
          </w:tcPr>
          <w:p w:rsidR="00FC484A" w:rsidRDefault="00FC484A" w:rsidP="00470391">
            <w:pPr>
              <w:jc w:val="center"/>
            </w:pPr>
            <w:r w:rsidRPr="007B5490">
              <w:t>0,00</w:t>
            </w:r>
          </w:p>
        </w:tc>
        <w:tc>
          <w:tcPr>
            <w:tcW w:w="1530" w:type="dxa"/>
          </w:tcPr>
          <w:p w:rsidR="00FC484A" w:rsidRPr="00281A84" w:rsidRDefault="00FC484A" w:rsidP="00470391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</w:tcPr>
          <w:p w:rsidR="00FC484A" w:rsidRPr="00160C10" w:rsidRDefault="00FC484A" w:rsidP="00470391">
            <w:pPr>
              <w:jc w:val="right"/>
              <w:rPr>
                <w:b/>
              </w:rPr>
            </w:pPr>
            <w:r>
              <w:rPr>
                <w:b/>
              </w:rPr>
              <w:t>1024,52</w:t>
            </w:r>
          </w:p>
        </w:tc>
        <w:tc>
          <w:tcPr>
            <w:tcW w:w="1237" w:type="dxa"/>
          </w:tcPr>
          <w:p w:rsidR="00FC484A" w:rsidRPr="00281A84" w:rsidRDefault="00FC484A" w:rsidP="00470391">
            <w:pPr>
              <w:jc w:val="center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</w:tbl>
    <w:p w:rsidR="00FC484A" w:rsidRPr="005E7390" w:rsidRDefault="00FC484A" w:rsidP="00FC484A">
      <w:pPr>
        <w:tabs>
          <w:tab w:val="left" w:pos="1455"/>
        </w:tabs>
        <w:rPr>
          <w:sz w:val="16"/>
          <w:szCs w:val="16"/>
        </w:rPr>
      </w:pPr>
      <w:r>
        <w:t>*</w:t>
      </w:r>
      <w:r w:rsidRPr="00C86A07">
        <w:rPr>
          <w:sz w:val="18"/>
          <w:szCs w:val="16"/>
        </w:rPr>
        <w:t xml:space="preserve">В том числе 20,04 </w:t>
      </w:r>
      <w:r w:rsidRPr="00C86A07">
        <w:rPr>
          <w:sz w:val="22"/>
        </w:rPr>
        <w:t>тыс</w:t>
      </w:r>
      <w:r>
        <w:t>. рублей объем финансового обеспечения за счет неисполненных бюджетных обязательств 2016 года (не учитывается в общем объеме финансирования программы).</w:t>
      </w:r>
    </w:p>
    <w:p w:rsidR="0061054B" w:rsidRDefault="0061054B"/>
    <w:sectPr w:rsidR="0061054B" w:rsidSect="00C757AA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84A"/>
    <w:rsid w:val="004D6E0F"/>
    <w:rsid w:val="0061054B"/>
    <w:rsid w:val="00FC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8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4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48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2017-06-16T09:54:00Z</dcterms:created>
  <dcterms:modified xsi:type="dcterms:W3CDTF">2017-06-16T09:55:00Z</dcterms:modified>
</cp:coreProperties>
</file>